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6EA069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006E5E19" w:rsidRPr="006E5E19">
        <w:rPr>
          <w:bCs/>
          <w:noProof w:val="0"/>
          <w:sz w:val="24"/>
          <w:szCs w:val="24"/>
        </w:rPr>
        <w:t>R2-1913036</w:t>
      </w:r>
    </w:p>
    <w:p w14:paraId="11776FA6" w14:textId="63A6911D"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2A1A24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2A2">
        <w:rPr>
          <w:rFonts w:cs="Arial"/>
          <w:b/>
          <w:bCs/>
          <w:sz w:val="24"/>
        </w:rPr>
        <w:t>6.9.4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F306D7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08FF">
        <w:rPr>
          <w:rFonts w:ascii="Arial" w:hAnsi="Arial" w:cs="Arial"/>
          <w:b/>
          <w:bCs/>
          <w:sz w:val="24"/>
        </w:rPr>
        <w:t xml:space="preserve">Conditional PSCell </w:t>
      </w:r>
      <w:r w:rsidR="005B7B22">
        <w:rPr>
          <w:rFonts w:ascii="Arial" w:hAnsi="Arial" w:cs="Arial"/>
          <w:b/>
          <w:bCs/>
          <w:sz w:val="24"/>
        </w:rPr>
        <w:t xml:space="preserve">addition and </w:t>
      </w:r>
      <w:r w:rsidR="00B408FF">
        <w:rPr>
          <w:rFonts w:ascii="Arial" w:hAnsi="Arial" w:cs="Arial"/>
          <w:b/>
          <w:bCs/>
          <w:sz w:val="24"/>
        </w:rPr>
        <w:t>change</w:t>
      </w:r>
    </w:p>
    <w:p w14:paraId="1F147C23" w14:textId="1A95509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7B22">
        <w:rPr>
          <w:rFonts w:ascii="Arial" w:hAnsi="Arial" w:cs="Arial"/>
          <w:b/>
          <w:bCs/>
          <w:sz w:val="24"/>
        </w:rPr>
        <w:t>LTE_NR_DC_CA-Core</w:t>
      </w:r>
      <w:r w:rsidR="005B7B22" w:rsidRPr="00112F1A">
        <w:rPr>
          <w:rFonts w:ascii="Arial" w:hAnsi="Arial" w:cs="Arial"/>
          <w:b/>
          <w:bCs/>
          <w:sz w:val="24"/>
        </w:rPr>
        <w:t xml:space="preserve"> </w:t>
      </w:r>
      <w:r>
        <w:rPr>
          <w:rFonts w:ascii="Arial" w:hAnsi="Arial" w:cs="Arial"/>
          <w:b/>
          <w:bCs/>
          <w:sz w:val="24"/>
        </w:rPr>
        <w:t xml:space="preserve">- Release </w:t>
      </w:r>
      <w:r w:rsidR="005B7B2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71E420C" w14:textId="3CE6E511" w:rsidR="005B7B22" w:rsidRDefault="005B7B22" w:rsidP="00A209D6">
      <w:r>
        <w:t xml:space="preserve">RAN2#107 agreed to consider the conditional PSCell addition and change as per the </w:t>
      </w:r>
      <w:hyperlink r:id="rId13" w:history="1">
        <w:r w:rsidR="002C6D82">
          <w:rPr>
            <w:rStyle w:val="Hyperlink"/>
          </w:rPr>
          <w:t>R2-1911344</w:t>
        </w:r>
      </w:hyperlink>
      <w:r w:rsidR="002C6D82">
        <w:t xml:space="preserve"> with the </w:t>
      </w:r>
      <w:r>
        <w:t>following</w:t>
      </w:r>
      <w:r w:rsidR="002C6D82">
        <w:t xml:space="preserve"> agreements</w:t>
      </w:r>
      <w:r>
        <w:t>:</w:t>
      </w:r>
    </w:p>
    <w:p w14:paraId="412975E8" w14:textId="77777777" w:rsidR="005B7B22" w:rsidRDefault="005B7B22" w:rsidP="005B7B22">
      <w:pPr>
        <w:pStyle w:val="Doc-text2"/>
        <w:pBdr>
          <w:top w:val="single" w:sz="4" w:space="1" w:color="auto"/>
          <w:left w:val="single" w:sz="4" w:space="4" w:color="auto"/>
          <w:bottom w:val="single" w:sz="4" w:space="1" w:color="auto"/>
          <w:right w:val="single" w:sz="4" w:space="4" w:color="auto"/>
        </w:pBdr>
      </w:pPr>
      <w:r>
        <w:t>Agreements</w:t>
      </w:r>
    </w:p>
    <w:p w14:paraId="6E9D2E07" w14:textId="77777777" w:rsidR="005B7B22" w:rsidRDefault="005B7B22" w:rsidP="005B7B22">
      <w:pPr>
        <w:pStyle w:val="Doc-text2"/>
        <w:pBdr>
          <w:top w:val="single" w:sz="4" w:space="1" w:color="auto"/>
          <w:left w:val="single" w:sz="4" w:space="4" w:color="auto"/>
          <w:bottom w:val="single" w:sz="4" w:space="1" w:color="auto"/>
          <w:right w:val="single" w:sz="4" w:space="4" w:color="auto"/>
        </w:pBdr>
      </w:pPr>
      <w:r>
        <w:t xml:space="preserve">1: </w:t>
      </w:r>
      <w:r>
        <w:tab/>
        <w:t>Support conditional NR PSCell addition/change and reusing the conditional HO solution being developed. Supported for any architecture option with NR PSCell.</w:t>
      </w:r>
    </w:p>
    <w:p w14:paraId="1EFBC033" w14:textId="77777777" w:rsidR="005B7B22" w:rsidRDefault="005B7B22" w:rsidP="005B7B22">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2882E8CB" w14:textId="77777777" w:rsidR="005B7B22" w:rsidRDefault="005B7B22" w:rsidP="00A209D6"/>
    <w:p w14:paraId="137685CD" w14:textId="797BA48F" w:rsidR="005B7B22" w:rsidRDefault="005B7B22" w:rsidP="00A209D6">
      <w:r>
        <w:t>RAN#85 also discussed the topic and agreed to officially update the mobility WID so that this is also listed as part of the WID objectives, as shown in below excerpt from</w:t>
      </w:r>
      <w:r w:rsidR="00726002" w:rsidRPr="00726002">
        <w:t xml:space="preserve"> </w:t>
      </w:r>
      <w:r w:rsidR="00830464">
        <w:t xml:space="preserve">the agreed WID in </w:t>
      </w:r>
      <w:hyperlink r:id="rId14" w:history="1">
        <w:r w:rsidR="00726002" w:rsidRPr="00787BD9">
          <w:rPr>
            <w:rStyle w:val="Hyperlink"/>
          </w:rPr>
          <w:t>RP-192277</w:t>
        </w:r>
      </w:hyperlink>
      <w:r>
        <w:t>:</w:t>
      </w:r>
    </w:p>
    <w:p w14:paraId="1388E90E" w14:textId="77777777" w:rsidR="00726002" w:rsidRPr="00726002" w:rsidRDefault="00726002" w:rsidP="00726002">
      <w:pPr>
        <w:pStyle w:val="B1"/>
        <w:numPr>
          <w:ilvl w:val="0"/>
          <w:numId w:val="11"/>
        </w:numPr>
        <w:overflowPunct w:val="0"/>
        <w:autoSpaceDE w:val="0"/>
        <w:autoSpaceDN w:val="0"/>
        <w:adjustRightInd w:val="0"/>
        <w:textAlignment w:val="baseline"/>
        <w:rPr>
          <w:i/>
          <w:lang w:val="en-US" w:eastAsia="ja-JP"/>
        </w:rPr>
      </w:pPr>
      <w:r w:rsidRPr="00726002">
        <w:rPr>
          <w:i/>
          <w:lang w:val="en-US" w:eastAsia="ja-JP"/>
        </w:rPr>
        <w:t>To specify the</w:t>
      </w:r>
      <w:r w:rsidRPr="00726002">
        <w:rPr>
          <w:i/>
        </w:rPr>
        <w:t xml:space="preserve"> </w:t>
      </w:r>
      <w:r w:rsidRPr="00726002">
        <w:rPr>
          <w:i/>
          <w:lang w:val="en-US" w:eastAsia="ja-JP"/>
        </w:rPr>
        <w:t>following solutions agreed during the study phase. [RAN2/RAN1/RAN3/RAN4]:</w:t>
      </w:r>
    </w:p>
    <w:p w14:paraId="06616953" w14:textId="77777777" w:rsidR="00726002" w:rsidRPr="00726002" w:rsidRDefault="00726002" w:rsidP="00726002">
      <w:pPr>
        <w:pStyle w:val="B1"/>
        <w:numPr>
          <w:ilvl w:val="1"/>
          <w:numId w:val="11"/>
        </w:numPr>
        <w:overflowPunct w:val="0"/>
        <w:autoSpaceDE w:val="0"/>
        <w:autoSpaceDN w:val="0"/>
        <w:adjustRightInd w:val="0"/>
        <w:textAlignment w:val="baseline"/>
        <w:rPr>
          <w:i/>
          <w:lang w:val="en-US" w:eastAsia="ja-JP"/>
        </w:rPr>
      </w:pPr>
      <w:r w:rsidRPr="00726002">
        <w:rPr>
          <w:i/>
          <w:lang w:val="en-US" w:eastAsia="ja-JP"/>
        </w:rPr>
        <w:t>To reduce interruption time during HO:</w:t>
      </w:r>
    </w:p>
    <w:p w14:paraId="62124135" w14:textId="77777777" w:rsidR="00726002" w:rsidRPr="00726002" w:rsidRDefault="00726002" w:rsidP="00726002">
      <w:pPr>
        <w:pStyle w:val="B1"/>
        <w:numPr>
          <w:ilvl w:val="2"/>
          <w:numId w:val="11"/>
        </w:numPr>
        <w:overflowPunct w:val="0"/>
        <w:autoSpaceDE w:val="0"/>
        <w:autoSpaceDN w:val="0"/>
        <w:adjustRightInd w:val="0"/>
        <w:textAlignment w:val="baseline"/>
        <w:rPr>
          <w:i/>
          <w:lang w:val="en-US" w:eastAsia="ja-JP"/>
        </w:rPr>
      </w:pPr>
      <w:r w:rsidRPr="00726002">
        <w:rPr>
          <w:i/>
          <w:lang w:val="en-US" w:eastAsia="ja-JP"/>
        </w:rPr>
        <w:t xml:space="preserve">Dual active protocol stack based HO interruption time reduction solution; </w:t>
      </w:r>
    </w:p>
    <w:p w14:paraId="715C86F6" w14:textId="77777777" w:rsidR="00726002" w:rsidRPr="00726002" w:rsidRDefault="00726002" w:rsidP="00726002">
      <w:pPr>
        <w:pStyle w:val="B1"/>
        <w:numPr>
          <w:ilvl w:val="1"/>
          <w:numId w:val="11"/>
        </w:numPr>
        <w:overflowPunct w:val="0"/>
        <w:autoSpaceDE w:val="0"/>
        <w:autoSpaceDN w:val="0"/>
        <w:adjustRightInd w:val="0"/>
        <w:textAlignment w:val="baseline"/>
        <w:rPr>
          <w:i/>
          <w:lang w:val="en-US" w:eastAsia="ja-JP"/>
        </w:rPr>
      </w:pPr>
      <w:r w:rsidRPr="00726002">
        <w:rPr>
          <w:i/>
          <w:lang w:val="en-US" w:eastAsia="ja-JP"/>
        </w:rPr>
        <w:t>To improve HO/SCG change reliability and robustness:</w:t>
      </w:r>
    </w:p>
    <w:p w14:paraId="05B27D1D" w14:textId="77777777" w:rsidR="00726002" w:rsidRPr="00726002" w:rsidRDefault="00726002" w:rsidP="00726002">
      <w:pPr>
        <w:pStyle w:val="B1"/>
        <w:numPr>
          <w:ilvl w:val="2"/>
          <w:numId w:val="11"/>
        </w:numPr>
        <w:overflowPunct w:val="0"/>
        <w:autoSpaceDE w:val="0"/>
        <w:autoSpaceDN w:val="0"/>
        <w:adjustRightInd w:val="0"/>
        <w:textAlignment w:val="baseline"/>
        <w:rPr>
          <w:i/>
          <w:lang w:val="en-US" w:eastAsia="ja-JP"/>
        </w:rPr>
      </w:pPr>
      <w:r w:rsidRPr="00726002">
        <w:rPr>
          <w:i/>
          <w:lang w:val="en-US" w:eastAsia="ja-JP"/>
        </w:rPr>
        <w:t>Conditional handover for NR PCell change;</w:t>
      </w:r>
    </w:p>
    <w:p w14:paraId="2B766AD2" w14:textId="77777777" w:rsidR="00726002" w:rsidRPr="00726002" w:rsidRDefault="00726002" w:rsidP="00726002">
      <w:pPr>
        <w:pStyle w:val="B1"/>
        <w:numPr>
          <w:ilvl w:val="2"/>
          <w:numId w:val="11"/>
        </w:numPr>
        <w:overflowPunct w:val="0"/>
        <w:autoSpaceDE w:val="0"/>
        <w:autoSpaceDN w:val="0"/>
        <w:adjustRightInd w:val="0"/>
        <w:textAlignment w:val="baseline"/>
        <w:rPr>
          <w:i/>
          <w:highlight w:val="yellow"/>
          <w:lang w:val="en-US" w:eastAsia="ja-JP"/>
        </w:rPr>
      </w:pPr>
      <w:r w:rsidRPr="00726002">
        <w:rPr>
          <w:i/>
          <w:highlight w:val="yellow"/>
          <w:lang w:val="en-US" w:eastAsia="ja-JP"/>
        </w:rPr>
        <w:t>Conditional handover based NR PSCell addition/change for any architecture option with NR PSCell;</w:t>
      </w:r>
    </w:p>
    <w:p w14:paraId="78ECD759" w14:textId="77777777" w:rsidR="00726002" w:rsidRPr="00726002" w:rsidRDefault="00726002" w:rsidP="00726002">
      <w:pPr>
        <w:pStyle w:val="B1"/>
        <w:numPr>
          <w:ilvl w:val="2"/>
          <w:numId w:val="11"/>
        </w:numPr>
        <w:overflowPunct w:val="0"/>
        <w:autoSpaceDE w:val="0"/>
        <w:autoSpaceDN w:val="0"/>
        <w:adjustRightInd w:val="0"/>
        <w:textAlignment w:val="baseline"/>
        <w:rPr>
          <w:i/>
          <w:lang w:val="en-US" w:eastAsia="ja-JP"/>
        </w:rPr>
      </w:pPr>
      <w:r w:rsidRPr="00726002">
        <w:rPr>
          <w:i/>
          <w:lang w:val="en-US" w:eastAsia="ja-JP"/>
        </w:rPr>
        <w:t>T312 based fast failure recovery (similar to LTE)</w:t>
      </w:r>
    </w:p>
    <w:p w14:paraId="31EC6E66" w14:textId="01926680" w:rsidR="007F2E08" w:rsidRPr="006E13D1" w:rsidRDefault="00726002" w:rsidP="00A209D6">
      <w:r>
        <w:t>In this contribution, we discuss what needs to be done in RAN2 to accomplish the conditional PSCell addition/change objective.</w:t>
      </w:r>
    </w:p>
    <w:p w14:paraId="2BBFF540" w14:textId="655DF149" w:rsidR="00A209D6" w:rsidRPr="006E13D1" w:rsidRDefault="00A209D6" w:rsidP="00A209D6">
      <w:pPr>
        <w:pStyle w:val="Heading1"/>
      </w:pPr>
      <w:r w:rsidRPr="006E13D1">
        <w:t>2</w:t>
      </w:r>
      <w:r w:rsidRPr="006E13D1">
        <w:tab/>
      </w:r>
      <w:r w:rsidR="00726002">
        <w:t>Stage-2 aspects of conditional PSCell addition/change (CPAC)</w:t>
      </w:r>
    </w:p>
    <w:p w14:paraId="2F8801DC" w14:textId="04A100F7" w:rsidR="00726002" w:rsidRDefault="00726002" w:rsidP="00A209D6">
      <w:r>
        <w:t xml:space="preserve">As discussed in </w:t>
      </w:r>
      <w:hyperlink r:id="rId15" w:history="1">
        <w:r w:rsidR="00045E3A" w:rsidRPr="00D25E18">
          <w:rPr>
            <w:rStyle w:val="Hyperlink"/>
          </w:rPr>
          <w:t>R2-1911344</w:t>
        </w:r>
      </w:hyperlink>
      <w:r>
        <w:t xml:space="preserve">, there are two basic </w:t>
      </w:r>
      <w:r w:rsidR="00045E3A">
        <w:t xml:space="preserve">conditional procedures </w:t>
      </w:r>
      <w:r>
        <w:t>to consider</w:t>
      </w:r>
      <w:r w:rsidR="00045E3A">
        <w:t xml:space="preserve"> with PSCells</w:t>
      </w:r>
      <w:r>
        <w:t>:</w:t>
      </w:r>
    </w:p>
    <w:p w14:paraId="545D3704" w14:textId="724F727F" w:rsidR="00726002" w:rsidRDefault="00726002" w:rsidP="00B116B5">
      <w:pPr>
        <w:pStyle w:val="B1"/>
      </w:pPr>
      <w:r>
        <w:t>1) Conditional PSCell addition</w:t>
      </w:r>
    </w:p>
    <w:p w14:paraId="6CE85B1C" w14:textId="6F1AF0C0" w:rsidR="00726002" w:rsidRDefault="00726002" w:rsidP="00B116B5">
      <w:pPr>
        <w:pStyle w:val="B1"/>
      </w:pPr>
      <w:r>
        <w:t>2) Conditional PSCell change</w:t>
      </w:r>
    </w:p>
    <w:p w14:paraId="408DEBDB" w14:textId="2C997BEE" w:rsidR="002C6D82" w:rsidRDefault="00045E3A" w:rsidP="00726002">
      <w:r>
        <w:t>However, both cases fit the existing framework of MR-</w:t>
      </w:r>
      <w:r w:rsidR="006E4487">
        <w:t>DC,</w:t>
      </w:r>
      <w:r w:rsidR="00A32C77">
        <w:t xml:space="preserve"> so the main change is applying the </w:t>
      </w:r>
      <w:r w:rsidR="002C6D82">
        <w:t xml:space="preserve">(PSCell) </w:t>
      </w:r>
      <w:r w:rsidR="00A32C77">
        <w:t>conditional part similarly as has been agreed to be done for the (PCell) handover.</w:t>
      </w:r>
      <w:r w:rsidR="002C6D82">
        <w:t xml:space="preserve"> This causes the following consequences:</w:t>
      </w:r>
    </w:p>
    <w:p w14:paraId="503554DB" w14:textId="175B7793" w:rsidR="002C6D82" w:rsidRDefault="006E4487" w:rsidP="00B116B5">
      <w:pPr>
        <w:pStyle w:val="B1"/>
        <w:numPr>
          <w:ilvl w:val="0"/>
          <w:numId w:val="13"/>
        </w:numPr>
        <w:rPr>
          <w:lang w:eastAsia="ja-JP"/>
        </w:rPr>
      </w:pPr>
      <w:r w:rsidRPr="006E4487">
        <w:rPr>
          <w:b/>
          <w:lang w:eastAsia="ja-JP"/>
        </w:rPr>
        <w:t>CPAC decision</w:t>
      </w:r>
      <w:r>
        <w:rPr>
          <w:b/>
          <w:lang w:eastAsia="ja-JP"/>
        </w:rPr>
        <w:t xml:space="preserve"> and network impacts</w:t>
      </w:r>
      <w:r w:rsidRPr="006E4487">
        <w:rPr>
          <w:b/>
          <w:lang w:eastAsia="ja-JP"/>
        </w:rPr>
        <w:t xml:space="preserve">: </w:t>
      </w:r>
      <w:r w:rsidR="002C6D82">
        <w:rPr>
          <w:lang w:eastAsia="ja-JP"/>
        </w:rPr>
        <w:t>With CHO, MN makes the decision to apply CPAC procedure and target SN(s) may accept or reject the request (i.e. same principle as with existing NR-DC).</w:t>
      </w:r>
      <w:r>
        <w:rPr>
          <w:lang w:eastAsia="ja-JP"/>
        </w:rPr>
        <w:t xml:space="preserve"> </w:t>
      </w:r>
      <w:r w:rsidR="002C6D82">
        <w:rPr>
          <w:lang w:eastAsia="ja-JP"/>
        </w:rPr>
        <w:t xml:space="preserve">Since UE shall only </w:t>
      </w:r>
      <w:r w:rsidR="002C6D82">
        <w:rPr>
          <w:lang w:eastAsia="ja-JP"/>
        </w:rPr>
        <w:lastRenderedPageBreak/>
        <w:t>trigger PSCell addition/change once the monitored condition applies, network has to reserve the PSCell resources for longer time than previously when it only expected RA to occur (almost) immediately. This means that the timer T</w:t>
      </w:r>
      <w:r w:rsidR="002C6D82" w:rsidRPr="006E4487">
        <w:rPr>
          <w:vertAlign w:val="subscript"/>
          <w:lang w:eastAsia="ja-JP"/>
        </w:rPr>
        <w:t>DC_overall</w:t>
      </w:r>
      <w:r w:rsidR="002C6D82">
        <w:rPr>
          <w:lang w:eastAsia="ja-JP"/>
        </w:rPr>
        <w:t xml:space="preserve"> (</w:t>
      </w:r>
      <w:r w:rsidR="00A44D56">
        <w:rPr>
          <w:lang w:eastAsia="ja-JP"/>
        </w:rPr>
        <w:t xml:space="preserve">as </w:t>
      </w:r>
      <w:r w:rsidR="002C6D82">
        <w:rPr>
          <w:lang w:eastAsia="ja-JP"/>
        </w:rPr>
        <w:t xml:space="preserve">defined in </w:t>
      </w:r>
      <w:hyperlink r:id="rId16" w:history="1">
        <w:r w:rsidR="00A44D56" w:rsidRPr="00A44D56">
          <w:rPr>
            <w:rStyle w:val="Hyperlink"/>
            <w:lang w:eastAsia="ja-JP"/>
          </w:rPr>
          <w:t>TS36.423</w:t>
        </w:r>
      </w:hyperlink>
      <w:r w:rsidR="002C6D82">
        <w:rPr>
          <w:lang w:eastAsia="ja-JP"/>
        </w:rPr>
        <w:t>) may have to be longer than before.</w:t>
      </w:r>
    </w:p>
    <w:p w14:paraId="1ED493A7" w14:textId="2B0708FD" w:rsidR="00C672E1" w:rsidRDefault="006E4487" w:rsidP="00B116B5">
      <w:pPr>
        <w:pStyle w:val="B1"/>
        <w:numPr>
          <w:ilvl w:val="0"/>
          <w:numId w:val="13"/>
        </w:numPr>
        <w:rPr>
          <w:lang w:eastAsia="ja-JP"/>
        </w:rPr>
      </w:pPr>
      <w:r w:rsidRPr="006E4487">
        <w:rPr>
          <w:b/>
          <w:lang w:eastAsia="ja-JP"/>
        </w:rPr>
        <w:t xml:space="preserve">CPAC configuration: </w:t>
      </w:r>
      <w:r w:rsidR="00C672E1">
        <w:rPr>
          <w:lang w:eastAsia="ja-JP"/>
        </w:rPr>
        <w:t xml:space="preserve">With MR-DC, while the PSCell configuration is fully defined by the SN based on the CG-ConfigInfo sent by MN, the message setting up the MR-DC is created by the MN and the SN configuration is already a transparent container within that message. Further, it is quite possible that the MN configuration is modified when the MR-DC is setup (e.g. due to the UE having different capabilities than in MN standalone operation, as indicated in the MR-DC </w:t>
      </w:r>
      <w:r w:rsidR="00C672E1" w:rsidRPr="00C672E1">
        <w:rPr>
          <w:i/>
          <w:lang w:eastAsia="ja-JP"/>
        </w:rPr>
        <w:t>featureSets</w:t>
      </w:r>
      <w:r w:rsidR="00C672E1">
        <w:rPr>
          <w:lang w:eastAsia="ja-JP"/>
        </w:rPr>
        <w:t xml:space="preserve"> in the UE capabilities). Therefore, it would in theory be possible to send the message differently from the CHO message since MN is responsible for creating it. However, we think that it would be best for both UE and network if the same principle as with CHO is followed also for the CPAC.</w:t>
      </w:r>
    </w:p>
    <w:p w14:paraId="1AB7B630" w14:textId="2AC0EA94" w:rsidR="0068728E" w:rsidRDefault="006E4487" w:rsidP="00B116B5">
      <w:pPr>
        <w:pStyle w:val="B1"/>
        <w:numPr>
          <w:ilvl w:val="0"/>
          <w:numId w:val="13"/>
        </w:numPr>
        <w:rPr>
          <w:lang w:eastAsia="ja-JP"/>
        </w:rPr>
      </w:pPr>
      <w:r>
        <w:rPr>
          <w:b/>
          <w:lang w:eastAsia="ja-JP"/>
        </w:rPr>
        <w:t>Indication of CPAC c</w:t>
      </w:r>
      <w:r w:rsidRPr="006E4487">
        <w:rPr>
          <w:b/>
          <w:lang w:eastAsia="ja-JP"/>
        </w:rPr>
        <w:t xml:space="preserve">ompletion: </w:t>
      </w:r>
      <w:r w:rsidR="002C6D82">
        <w:rPr>
          <w:lang w:eastAsia="ja-JP"/>
        </w:rPr>
        <w:t>In CHO, UE never indicates the triggering to the network since it will immediately leave the PCell, so network is not immediately aware of when the CPAC triggers. However, for MR-DC, this is slightly different because the connection to PCell remains all the time and PCell has to trigger the data forwarding in some way towards the (new) PSCell.</w:t>
      </w:r>
      <w:r w:rsidR="00DF3F2C">
        <w:rPr>
          <w:lang w:eastAsia="ja-JP"/>
        </w:rPr>
        <w:t xml:space="preserve"> Therefore, UE is able to indicate the start of the procedure to the network and it is assumed that the PCell connection is still operational. Therefore, it seems preferable (compared to the CHO case where the “bye” message was not agreed due to reliability and latency concerns) that UE indicates to MN when it begins the CPAC procedure towards SN.</w:t>
      </w:r>
    </w:p>
    <w:p w14:paraId="7F49CAE9" w14:textId="36D90317" w:rsidR="00B94C3B" w:rsidRDefault="00B94C3B" w:rsidP="00B116B5">
      <w:pPr>
        <w:pStyle w:val="B1"/>
        <w:numPr>
          <w:ilvl w:val="0"/>
          <w:numId w:val="13"/>
        </w:numPr>
        <w:rPr>
          <w:lang w:eastAsia="ja-JP"/>
        </w:rPr>
      </w:pPr>
      <w:r w:rsidRPr="00B94C3B">
        <w:rPr>
          <w:b/>
          <w:lang w:eastAsia="ja-JP"/>
        </w:rPr>
        <w:t>Impacted architecture options:</w:t>
      </w:r>
      <w:r>
        <w:rPr>
          <w:lang w:eastAsia="ja-JP"/>
        </w:rPr>
        <w:t xml:space="preserve"> </w:t>
      </w:r>
      <w:r>
        <w:t>It can be seen that this objective only relates to NR PSCell, and hence NE-DC is not be considered in this WID. However, since both NR-DC and (NG)EN-DC are applicable, both LTE and NR RRC need modifications.</w:t>
      </w:r>
    </w:p>
    <w:p w14:paraId="31575AF9" w14:textId="47F0896F" w:rsidR="00B94C3B" w:rsidRPr="00B94C3B" w:rsidRDefault="00B94C3B" w:rsidP="002C6D82">
      <w:r w:rsidRPr="00045E3A">
        <w:rPr>
          <w:b/>
        </w:rPr>
        <w:t>Observation 1:</w:t>
      </w:r>
      <w:r>
        <w:t xml:space="preserve"> Conditional PSCell addition/change (CPAC) applies </w:t>
      </w:r>
      <w:r w:rsidR="00E87849">
        <w:t xml:space="preserve">only </w:t>
      </w:r>
      <w:r>
        <w:t xml:space="preserve">for EN-DC, NGEN-DC and NR-DC. </w:t>
      </w:r>
    </w:p>
    <w:p w14:paraId="35187CCD" w14:textId="3E783C7B" w:rsidR="00DF3F2C" w:rsidRDefault="00DF3F2C" w:rsidP="002C6D82">
      <w:pPr>
        <w:rPr>
          <w:lang w:eastAsia="ja-JP"/>
        </w:rPr>
      </w:pPr>
      <w:r w:rsidRPr="00DF3F2C">
        <w:rPr>
          <w:b/>
          <w:lang w:eastAsia="ja-JP"/>
        </w:rPr>
        <w:t>Observation 2:</w:t>
      </w:r>
      <w:r>
        <w:rPr>
          <w:lang w:eastAsia="ja-JP"/>
        </w:rPr>
        <w:t xml:space="preserve"> The CPAC procedure is not exactly the same as the CHO procedure due to SN being in inter-RAT/frequency</w:t>
      </w:r>
      <w:r w:rsidR="00C672E1">
        <w:rPr>
          <w:lang w:eastAsia="ja-JP"/>
        </w:rPr>
        <w:t>, MN creating the CPAC message</w:t>
      </w:r>
      <w:r>
        <w:rPr>
          <w:lang w:eastAsia="ja-JP"/>
        </w:rPr>
        <w:t xml:space="preserve"> and PCell connection being retained even after the procedure completion.</w:t>
      </w:r>
    </w:p>
    <w:p w14:paraId="4E07FA92" w14:textId="694E9BA1" w:rsidR="002C6D82" w:rsidRDefault="006E4487" w:rsidP="002C6D82">
      <w:pPr>
        <w:rPr>
          <w:lang w:eastAsia="ja-JP"/>
        </w:rPr>
      </w:pPr>
      <w:r>
        <w:rPr>
          <w:lang w:eastAsia="ja-JP"/>
        </w:rPr>
        <w:t xml:space="preserve">Therefore, we think some differences are inevitable but consider that the best course of action would be to follow the existing CHO agreements as much as possible. Therefore, </w:t>
      </w:r>
      <w:r w:rsidR="002C6D82">
        <w:rPr>
          <w:lang w:eastAsia="ja-JP"/>
        </w:rPr>
        <w:t>we make the following basic Stage-2 proposals:</w:t>
      </w:r>
    </w:p>
    <w:p w14:paraId="54294664" w14:textId="467F818F" w:rsidR="006E4487" w:rsidRPr="006E4487" w:rsidRDefault="006E4487" w:rsidP="002C6D82">
      <w:pPr>
        <w:rPr>
          <w:lang w:eastAsia="ja-JP"/>
        </w:rPr>
      </w:pPr>
      <w:r>
        <w:rPr>
          <w:b/>
          <w:lang w:eastAsia="ja-JP"/>
        </w:rPr>
        <w:t xml:space="preserve">Proposal 0: </w:t>
      </w:r>
      <w:r w:rsidRPr="006E4487">
        <w:rPr>
          <w:lang w:eastAsia="ja-JP"/>
        </w:rPr>
        <w:t>CPAC follows the CHO principles except where stated otherwise.</w:t>
      </w:r>
    </w:p>
    <w:p w14:paraId="42B07359" w14:textId="07B55FCF" w:rsidR="002C6D82" w:rsidRDefault="002C6D82" w:rsidP="002C6D82">
      <w:pPr>
        <w:rPr>
          <w:lang w:eastAsia="ja-JP"/>
        </w:rPr>
      </w:pPr>
      <w:r w:rsidRPr="00DF3F2C">
        <w:rPr>
          <w:b/>
          <w:lang w:eastAsia="ja-JP"/>
        </w:rPr>
        <w:t>Proposal 1:</w:t>
      </w:r>
      <w:r>
        <w:rPr>
          <w:lang w:eastAsia="ja-JP"/>
        </w:rPr>
        <w:t xml:space="preserve"> MN </w:t>
      </w:r>
      <w:r w:rsidR="00DF3F2C">
        <w:rPr>
          <w:lang w:eastAsia="ja-JP"/>
        </w:rPr>
        <w:t xml:space="preserve">indicates to SN whether the SN addition/change is </w:t>
      </w:r>
      <w:r w:rsidR="00C672E1">
        <w:rPr>
          <w:lang w:eastAsia="ja-JP"/>
        </w:rPr>
        <w:t>conditional,</w:t>
      </w:r>
      <w:r w:rsidR="00DF3F2C">
        <w:rPr>
          <w:lang w:eastAsia="ja-JP"/>
        </w:rPr>
        <w:t xml:space="preserve"> and </w:t>
      </w:r>
      <w:r>
        <w:rPr>
          <w:lang w:eastAsia="ja-JP"/>
        </w:rPr>
        <w:t>SN may accept or reject the request.</w:t>
      </w:r>
      <w:r w:rsidR="00DF3F2C">
        <w:rPr>
          <w:lang w:eastAsia="ja-JP"/>
        </w:rPr>
        <w:t xml:space="preserve"> RAN3 to define the signalling details of the request-response procedures.</w:t>
      </w:r>
    </w:p>
    <w:p w14:paraId="0DEDD2CA" w14:textId="7D87FB40" w:rsidR="00C672E1" w:rsidRDefault="00C672E1" w:rsidP="002C6D82">
      <w:pPr>
        <w:rPr>
          <w:lang w:eastAsia="ja-JP"/>
        </w:rPr>
      </w:pPr>
      <w:r w:rsidRPr="00C672E1">
        <w:rPr>
          <w:b/>
          <w:lang w:eastAsia="ja-JP"/>
        </w:rPr>
        <w:t>Proposal 2:</w:t>
      </w:r>
      <w:r>
        <w:rPr>
          <w:lang w:eastAsia="ja-JP"/>
        </w:rPr>
        <w:t xml:space="preserve"> The CPAC configuration is done in the same way as CHO: The triggering condition is defined by MN and the CPAC (SN) configuration is created by the SN, with the </w:t>
      </w:r>
      <w:r w:rsidRPr="009B2511">
        <w:rPr>
          <w:i/>
          <w:lang w:eastAsia="ja-JP"/>
        </w:rPr>
        <w:t>RRCReconfiguration</w:t>
      </w:r>
      <w:r>
        <w:rPr>
          <w:lang w:eastAsia="ja-JP"/>
        </w:rPr>
        <w:t xml:space="preserve"> that triggers the CPAC sent in an RRC container to the UE.</w:t>
      </w:r>
    </w:p>
    <w:p w14:paraId="2C14B6D0" w14:textId="3F24A1EF" w:rsidR="00045E3A" w:rsidRDefault="00DF3F2C" w:rsidP="00726002">
      <w:pPr>
        <w:rPr>
          <w:lang w:eastAsia="ja-JP"/>
        </w:rPr>
      </w:pPr>
      <w:r w:rsidRPr="00DF3F2C">
        <w:rPr>
          <w:b/>
          <w:lang w:eastAsia="ja-JP"/>
        </w:rPr>
        <w:t xml:space="preserve">Proposal </w:t>
      </w:r>
      <w:r w:rsidR="006E4487">
        <w:rPr>
          <w:b/>
          <w:lang w:eastAsia="ja-JP"/>
        </w:rPr>
        <w:t>3</w:t>
      </w:r>
      <w:r w:rsidRPr="00DF3F2C">
        <w:rPr>
          <w:b/>
          <w:lang w:eastAsia="ja-JP"/>
        </w:rPr>
        <w:t>:</w:t>
      </w:r>
      <w:r>
        <w:rPr>
          <w:lang w:eastAsia="ja-JP"/>
        </w:rPr>
        <w:t xml:space="preserve"> UE indicates to MN when the CPAC condition is triggered via RRC message (FFS which </w:t>
      </w:r>
      <w:r w:rsidR="0068728E">
        <w:rPr>
          <w:lang w:eastAsia="ja-JP"/>
        </w:rPr>
        <w:t xml:space="preserve">message </w:t>
      </w:r>
      <w:r>
        <w:rPr>
          <w:lang w:eastAsia="ja-JP"/>
        </w:rPr>
        <w:t>is used</w:t>
      </w:r>
      <w:r w:rsidR="00C672E1">
        <w:rPr>
          <w:lang w:eastAsia="ja-JP"/>
        </w:rPr>
        <w:t xml:space="preserve"> and when the message is triggered</w:t>
      </w:r>
      <w:r>
        <w:rPr>
          <w:lang w:eastAsia="ja-JP"/>
        </w:rPr>
        <w:t>).</w:t>
      </w:r>
    </w:p>
    <w:p w14:paraId="4468E649" w14:textId="6906F3C2" w:rsidR="004A1117" w:rsidRDefault="004A1117" w:rsidP="00726002">
      <w:pPr>
        <w:rPr>
          <w:lang w:eastAsia="ja-JP"/>
        </w:rPr>
      </w:pPr>
      <w:r>
        <w:rPr>
          <w:lang w:eastAsia="ja-JP"/>
        </w:rPr>
        <w:t>It is also a relevant question as to how many CPAC commands UE would be required to store (and monitor) at once: Considering that this aspect is not yet fully decided even in CHO, we could simply align with the eventual CHO decision and allow the same amount (as per proposal 0). However, we think this use case may be slightly different and would propose to discuss the matter more: In our view, just one or two CPAC commands might be sufficient for most use cases.</w:t>
      </w:r>
    </w:p>
    <w:p w14:paraId="551A5EF9" w14:textId="547E9D44" w:rsidR="004A1117" w:rsidRDefault="004A1117" w:rsidP="00726002">
      <w:pPr>
        <w:rPr>
          <w:lang w:eastAsia="ja-JP"/>
        </w:rPr>
      </w:pPr>
      <w:r w:rsidRPr="004A1117">
        <w:rPr>
          <w:b/>
          <w:lang w:eastAsia="ja-JP"/>
        </w:rPr>
        <w:t>Proposal 4:</w:t>
      </w:r>
      <w:r>
        <w:rPr>
          <w:lang w:eastAsia="ja-JP"/>
        </w:rPr>
        <w:t xml:space="preserve"> RAN2 to discuss how many CPAC commands UE should be required to store.</w:t>
      </w:r>
    </w:p>
    <w:p w14:paraId="766D6D29" w14:textId="5C20D31A" w:rsidR="00A209D6" w:rsidRPr="006E13D1" w:rsidRDefault="00A209D6" w:rsidP="00A209D6">
      <w:pPr>
        <w:pStyle w:val="Heading1"/>
      </w:pPr>
      <w:r w:rsidRPr="006E13D1">
        <w:t>3</w:t>
      </w:r>
      <w:r w:rsidRPr="006E13D1">
        <w:tab/>
      </w:r>
      <w:r w:rsidR="00726002">
        <w:t>Stage-3 aspects of CPAC</w:t>
      </w:r>
    </w:p>
    <w:p w14:paraId="5F01C058" w14:textId="298D289E" w:rsidR="00A209D6" w:rsidRPr="006E13D1" w:rsidRDefault="00A209D6" w:rsidP="00A209D6">
      <w:pPr>
        <w:pStyle w:val="Heading2"/>
      </w:pPr>
      <w:r w:rsidRPr="006E13D1">
        <w:t>3.1</w:t>
      </w:r>
      <w:r w:rsidRPr="006E13D1">
        <w:tab/>
      </w:r>
      <w:r w:rsidR="0068728E">
        <w:t>Triggering condition</w:t>
      </w:r>
      <w:r w:rsidR="006E4487">
        <w:t>(s) for CPAC</w:t>
      </w:r>
    </w:p>
    <w:p w14:paraId="61546836" w14:textId="1ADEB4B4" w:rsidR="006E4487" w:rsidRDefault="00C672E1" w:rsidP="00A209D6">
      <w:r>
        <w:t>The fundamental principle o</w:t>
      </w:r>
      <w:r w:rsidR="000259C7">
        <w:t>f</w:t>
      </w:r>
      <w:r>
        <w:t xml:space="preserve"> CHO is the separation of the triggering condition and the CHO command: The CHO command is generated</w:t>
      </w:r>
      <w:r w:rsidR="006E4487">
        <w:t xml:space="preserve">/controlled </w:t>
      </w:r>
      <w:r>
        <w:t>by the target cell, whereas the trig</w:t>
      </w:r>
      <w:r w:rsidR="006E4487">
        <w:t>gering condition is generated/controlled by the source cell. As with other things, we think it’s best to reuse the CHO agreements here:</w:t>
      </w:r>
    </w:p>
    <w:p w14:paraId="63A53107" w14:textId="0FBAF976" w:rsidR="006E4487" w:rsidRDefault="006E4487" w:rsidP="00B116B5">
      <w:pPr>
        <w:pStyle w:val="B1"/>
        <w:numPr>
          <w:ilvl w:val="0"/>
          <w:numId w:val="13"/>
        </w:numPr>
        <w:rPr>
          <w:lang w:eastAsia="ja-JP"/>
        </w:rPr>
      </w:pPr>
      <w:r w:rsidRPr="006E4487">
        <w:rPr>
          <w:b/>
          <w:lang w:eastAsia="ja-JP"/>
        </w:rPr>
        <w:lastRenderedPageBreak/>
        <w:t xml:space="preserve">Configuration: </w:t>
      </w:r>
      <w:r>
        <w:rPr>
          <w:lang w:eastAsia="ja-JP"/>
        </w:rPr>
        <w:t>MN generates the triggering condition(s) and signals them to the UE separately from the CPAC command.</w:t>
      </w:r>
    </w:p>
    <w:p w14:paraId="573ABC0E" w14:textId="1300CBBB" w:rsidR="006E4487" w:rsidRDefault="006E4487" w:rsidP="00B116B5">
      <w:pPr>
        <w:pStyle w:val="B1"/>
        <w:numPr>
          <w:ilvl w:val="0"/>
          <w:numId w:val="13"/>
        </w:numPr>
        <w:rPr>
          <w:lang w:eastAsia="ja-JP"/>
        </w:rPr>
      </w:pPr>
      <w:r w:rsidRPr="006E4487">
        <w:rPr>
          <w:b/>
          <w:lang w:eastAsia="ja-JP"/>
        </w:rPr>
        <w:t xml:space="preserve">Number of triggering conditions: </w:t>
      </w:r>
      <w:r>
        <w:rPr>
          <w:lang w:eastAsia="ja-JP"/>
        </w:rPr>
        <w:t>At most two triggering conditions (with “and”) may be provided by the MN.</w:t>
      </w:r>
    </w:p>
    <w:p w14:paraId="3C17C6E2" w14:textId="209490B0" w:rsidR="006E4487" w:rsidRDefault="006E4487" w:rsidP="00B116B5">
      <w:pPr>
        <w:pStyle w:val="B1"/>
        <w:numPr>
          <w:ilvl w:val="0"/>
          <w:numId w:val="13"/>
        </w:numPr>
        <w:rPr>
          <w:lang w:eastAsia="ja-JP"/>
        </w:rPr>
      </w:pPr>
      <w:r w:rsidRPr="006E4487">
        <w:rPr>
          <w:b/>
          <w:lang w:eastAsia="ja-JP"/>
        </w:rPr>
        <w:t xml:space="preserve">Applicable events: </w:t>
      </w:r>
      <w:r>
        <w:rPr>
          <w:lang w:eastAsia="ja-JP"/>
        </w:rPr>
        <w:t xml:space="preserve">CHO has only considered events A3/A5, but as already discussed </w:t>
      </w:r>
      <w:hyperlink r:id="rId17" w:history="1">
        <w:r>
          <w:rPr>
            <w:rStyle w:val="Hyperlink"/>
          </w:rPr>
          <w:t>R2-1911344</w:t>
        </w:r>
      </w:hyperlink>
      <w:r>
        <w:t xml:space="preserve">, these are not sufficient for (NG)EN-DC since they do not apply for inter-RAT measurements. Hence, at least B1 even should be considered in addition for the CPAC. </w:t>
      </w:r>
      <w:r>
        <w:rPr>
          <w:lang w:eastAsia="ja-JP"/>
        </w:rPr>
        <w:t>Additionally, for NR-DC, the even A4 might be applicable in a similar manner as B1: A4 can be assigned for both intra- and inter-frequency measurements.</w:t>
      </w:r>
    </w:p>
    <w:p w14:paraId="586EAE5E" w14:textId="778DA1AA" w:rsidR="004A1117" w:rsidRPr="004A1117" w:rsidRDefault="004A1117" w:rsidP="006E4487">
      <w:r>
        <w:t>Based on these, we propose the following:</w:t>
      </w:r>
      <w:bookmarkStart w:id="0" w:name="_GoBack"/>
      <w:bookmarkEnd w:id="0"/>
    </w:p>
    <w:p w14:paraId="3FFA382B" w14:textId="0CF61ACC" w:rsidR="004A1117" w:rsidRDefault="006E4487" w:rsidP="006E4487">
      <w:pPr>
        <w:rPr>
          <w:lang w:eastAsia="ja-JP"/>
        </w:rPr>
      </w:pPr>
      <w:r w:rsidRPr="004A1117">
        <w:rPr>
          <w:b/>
        </w:rPr>
        <w:t xml:space="preserve">Proposal </w:t>
      </w:r>
      <w:r w:rsidR="004A1117">
        <w:rPr>
          <w:b/>
        </w:rPr>
        <w:t>5</w:t>
      </w:r>
      <w:r w:rsidRPr="004A1117">
        <w:rPr>
          <w:b/>
        </w:rPr>
        <w:t>:</w:t>
      </w:r>
      <w:r>
        <w:t xml:space="preserve"> MN configures at most two triggering conditions separately from the CPAC command.</w:t>
      </w:r>
      <w:r>
        <w:rPr>
          <w:lang w:eastAsia="ja-JP"/>
        </w:rPr>
        <w:t xml:space="preserve"> </w:t>
      </w:r>
    </w:p>
    <w:p w14:paraId="0EC238AD" w14:textId="141B9B7A" w:rsidR="006E4487" w:rsidRDefault="004A1117" w:rsidP="006E4487">
      <w:pPr>
        <w:rPr>
          <w:lang w:eastAsia="ja-JP"/>
        </w:rPr>
      </w:pPr>
      <w:r w:rsidRPr="004A1117">
        <w:rPr>
          <w:b/>
          <w:lang w:eastAsia="ja-JP"/>
        </w:rPr>
        <w:t xml:space="preserve">Proposal </w:t>
      </w:r>
      <w:r>
        <w:rPr>
          <w:b/>
          <w:lang w:eastAsia="ja-JP"/>
        </w:rPr>
        <w:t>6</w:t>
      </w:r>
      <w:r w:rsidRPr="004A1117">
        <w:rPr>
          <w:b/>
          <w:lang w:eastAsia="ja-JP"/>
        </w:rPr>
        <w:t xml:space="preserve">: </w:t>
      </w:r>
      <w:r w:rsidR="006E4487">
        <w:rPr>
          <w:lang w:eastAsia="ja-JP"/>
        </w:rPr>
        <w:t>Events A3, A4, A5 and B1 can be used to trigger CPAC.</w:t>
      </w:r>
    </w:p>
    <w:p w14:paraId="516091B7" w14:textId="06608997" w:rsidR="00873DA9" w:rsidRPr="006E13D1" w:rsidRDefault="00873DA9" w:rsidP="00873DA9">
      <w:pPr>
        <w:pStyle w:val="Heading2"/>
      </w:pPr>
      <w:r w:rsidRPr="006E13D1">
        <w:t>3.</w:t>
      </w:r>
      <w:r w:rsidR="004A1117">
        <w:t>2</w:t>
      </w:r>
      <w:r w:rsidRPr="006E13D1">
        <w:tab/>
      </w:r>
      <w:r>
        <w:t>Bearer handling</w:t>
      </w:r>
      <w:r w:rsidR="004A1117">
        <w:t xml:space="preserve"> and data forwarding</w:t>
      </w:r>
    </w:p>
    <w:p w14:paraId="77BB9EA6" w14:textId="11A259BC" w:rsidR="004A1117" w:rsidRDefault="004A1117" w:rsidP="00873DA9">
      <w:r>
        <w:t>Since the CPAC may invoke a change in bearer configurations (and therefore PDCP anchoring point change), network needs to ensure that it can do data forwarding at the right moment (i.e. when the CPAC procedure completes).</w:t>
      </w:r>
      <w:r w:rsidR="00BC4C4D">
        <w:t xml:space="preserve"> Hence, MN needs to know the moment when the CPAC triggers as this will potentially require change in security keys (especially if LTE PDCP changes to NR PDCP at the same time, or the PDCP anchoring point changes).</w:t>
      </w:r>
    </w:p>
    <w:p w14:paraId="1C5943C3" w14:textId="3C0135BF" w:rsidR="00BC4C4D" w:rsidRDefault="00BC4C4D" w:rsidP="00873DA9">
      <w:r w:rsidRPr="00BC4C4D">
        <w:rPr>
          <w:b/>
        </w:rPr>
        <w:t>Observation 3:</w:t>
      </w:r>
      <w:r>
        <w:t xml:space="preserve"> PCell needs to be aware of the CPAC triggering to understand if/when PDCP/RLC entities are re-established and MAC reset.</w:t>
      </w:r>
    </w:p>
    <w:p w14:paraId="3C19F37B" w14:textId="0699AC48" w:rsidR="00BC4C4D" w:rsidRDefault="00BC4C4D" w:rsidP="00873DA9">
      <w:r>
        <w:t xml:space="preserve">From network perspective, the data forwarding also needs to be triggered at the right time, which should be latest when the UE does RACH towards the (new) PSCell. Therefore, we would propose that UE indicates to network via </w:t>
      </w:r>
      <w:r w:rsidRPr="00BC4C4D">
        <w:rPr>
          <w:i/>
        </w:rPr>
        <w:t>RRCReconfigurationComplete</w:t>
      </w:r>
      <w:r>
        <w:t xml:space="preserve"> when the CPAC triggering condition executes and RA is successful.</w:t>
      </w:r>
    </w:p>
    <w:p w14:paraId="5989BFED" w14:textId="692AC1A9" w:rsidR="00BC4C4D" w:rsidRDefault="00BC4C4D" w:rsidP="00873DA9">
      <w:r w:rsidRPr="00BC4C4D">
        <w:rPr>
          <w:b/>
        </w:rPr>
        <w:t>Proposal 7:</w:t>
      </w:r>
      <w:r>
        <w:t xml:space="preserve"> UE sends </w:t>
      </w:r>
      <w:r w:rsidRPr="00BC4C4D">
        <w:rPr>
          <w:i/>
        </w:rPr>
        <w:t>RRC(Connection)ReconfigurationComplete</w:t>
      </w:r>
      <w:r>
        <w:t xml:space="preserve"> to PCell </w:t>
      </w:r>
      <w:r w:rsidR="00B116B5">
        <w:t>when the CPAC triggers, just as with existing SN addition/change</w:t>
      </w:r>
      <w:r>
        <w:t>.</w:t>
      </w:r>
    </w:p>
    <w:p w14:paraId="28546BE1" w14:textId="51C4E8DC" w:rsidR="000F6F42" w:rsidRDefault="000F6F42" w:rsidP="00873DA9">
      <w:r>
        <w:t xml:space="preserve">Note that this means UE will send </w:t>
      </w:r>
      <w:r w:rsidRPr="009B2511">
        <w:rPr>
          <w:i/>
        </w:rPr>
        <w:t>RRCReconfigurationComplete</w:t>
      </w:r>
      <w:r>
        <w:t xml:space="preserve"> to PCell </w:t>
      </w:r>
      <w:r w:rsidRPr="009B2511">
        <w:t>twice</w:t>
      </w:r>
      <w:r>
        <w:t xml:space="preserve"> – Once for the reception of the reconfiguration with the CAPC configuration, and once to acknowledge it has been completed, as illustrated in Figure 1 below: </w:t>
      </w:r>
    </w:p>
    <w:p w14:paraId="0A2627ED" w14:textId="6CC7198E" w:rsidR="000F6F42" w:rsidRDefault="00550486" w:rsidP="009B2511">
      <w:pPr>
        <w:keepNext/>
      </w:pPr>
      <w:r>
        <w:object w:dxaOrig="9705" w:dyaOrig="6705" w14:anchorId="3AC31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3pt" o:ole="">
            <v:imagedata r:id="rId18" o:title=""/>
          </v:shape>
          <o:OLEObject Type="Embed" ProgID="Mscgen.Chart" ShapeID="_x0000_i1025" DrawAspect="Content" ObjectID="_1631626769" r:id="rId19"/>
        </w:object>
      </w:r>
    </w:p>
    <w:p w14:paraId="0BE21191" w14:textId="0CD82654" w:rsidR="000F6F42" w:rsidRDefault="000F6F42">
      <w:pPr>
        <w:pStyle w:val="Caption"/>
        <w:jc w:val="center"/>
        <w:rPr>
          <w:b/>
          <w:i w:val="0"/>
        </w:rPr>
      </w:pPr>
      <w:r w:rsidRPr="009B2511">
        <w:rPr>
          <w:b/>
          <w:i w:val="0"/>
        </w:rPr>
        <w:t xml:space="preserve">Figure </w:t>
      </w:r>
      <w:r w:rsidRPr="009B2511">
        <w:rPr>
          <w:b/>
          <w:i w:val="0"/>
        </w:rPr>
        <w:fldChar w:fldCharType="begin"/>
      </w:r>
      <w:r w:rsidRPr="009B2511">
        <w:rPr>
          <w:b/>
          <w:i w:val="0"/>
        </w:rPr>
        <w:instrText xml:space="preserve"> SEQ Figure \* ARABIC </w:instrText>
      </w:r>
      <w:r w:rsidRPr="009B2511">
        <w:rPr>
          <w:b/>
          <w:i w:val="0"/>
        </w:rPr>
        <w:fldChar w:fldCharType="separate"/>
      </w:r>
      <w:r w:rsidRPr="009B2511">
        <w:rPr>
          <w:b/>
          <w:i w:val="0"/>
          <w:noProof/>
        </w:rPr>
        <w:t>1</w:t>
      </w:r>
      <w:r w:rsidRPr="009B2511">
        <w:rPr>
          <w:b/>
          <w:i w:val="0"/>
        </w:rPr>
        <w:fldChar w:fldCharType="end"/>
      </w:r>
      <w:r w:rsidRPr="009B2511">
        <w:rPr>
          <w:b/>
          <w:i w:val="0"/>
        </w:rPr>
        <w:t>. Acknowledging the CAPC configuration and confirming the CAPC completion to PCell</w:t>
      </w:r>
    </w:p>
    <w:p w14:paraId="4BBE6AD4" w14:textId="3F7D4042" w:rsidR="00D04E35" w:rsidRDefault="00D04E35" w:rsidP="00D04E35">
      <w:r>
        <w:t xml:space="preserve">However, this also means that network either has to do “early” data forwarding (e.g. from when the CAPC is configured) or only start data forwarding when the </w:t>
      </w:r>
      <w:r w:rsidR="000966CA">
        <w:t xml:space="preserve">RRCReconfigurationComplete is received (which might lead to gap in UP transmissions for PSCell). </w:t>
      </w:r>
    </w:p>
    <w:p w14:paraId="614E0C8A" w14:textId="4CE6585D" w:rsidR="000966CA" w:rsidRDefault="000966CA" w:rsidP="00D04E35">
      <w:r w:rsidRPr="009B2511">
        <w:rPr>
          <w:b/>
        </w:rPr>
        <w:t>Observation 3:</w:t>
      </w:r>
      <w:r>
        <w:t xml:space="preserve"> </w:t>
      </w:r>
      <w:r w:rsidR="00EB5451">
        <w:t>It is not clear when PCell would start doing data forwarding towards the target PSCell.</w:t>
      </w:r>
    </w:p>
    <w:p w14:paraId="6B6A22B1" w14:textId="3E42C265" w:rsidR="008B3FAE" w:rsidRPr="00D04E35" w:rsidRDefault="008B3FAE" w:rsidP="00D04E35">
      <w:r w:rsidRPr="009B2511">
        <w:rPr>
          <w:b/>
        </w:rPr>
        <w:t>Proposal 8:</w:t>
      </w:r>
      <w:r>
        <w:t xml:space="preserve"> RAN2 to discuss whether some indication </w:t>
      </w:r>
      <w:r w:rsidR="0067327D">
        <w:t xml:space="preserve">(e.g. </w:t>
      </w:r>
      <w:r w:rsidR="0067327D" w:rsidRPr="009B2511">
        <w:rPr>
          <w:i/>
        </w:rPr>
        <w:t>MeasurementReport</w:t>
      </w:r>
      <w:r w:rsidR="0067327D">
        <w:t>) from UE to network is needed when the CAPC conditions trigger</w:t>
      </w:r>
    </w:p>
    <w:p w14:paraId="42F680F6" w14:textId="77777777" w:rsidR="004A1117" w:rsidRPr="006E13D1" w:rsidRDefault="004A1117" w:rsidP="004A1117">
      <w:pPr>
        <w:pStyle w:val="Heading2"/>
      </w:pPr>
      <w:r w:rsidRPr="006E13D1">
        <w:t>3.</w:t>
      </w:r>
      <w:r>
        <w:t>3</w:t>
      </w:r>
      <w:r w:rsidRPr="006E13D1">
        <w:tab/>
      </w:r>
      <w:r>
        <w:t>RLM of PSCell</w:t>
      </w:r>
    </w:p>
    <w:p w14:paraId="05BE2DD8" w14:textId="77777777" w:rsidR="004A1117" w:rsidRDefault="004A1117" w:rsidP="004A1117">
      <w:r>
        <w:t>Once UE is configured with CPAC monitoring, it still retains connection to the PCell and PSCell (if configured). Only once the CPAC triggers will the UE effect the change, at which time RLM procedures will apply just as with regular SN addition/change. Therefore, we think no changes are needed to RLM.</w:t>
      </w:r>
    </w:p>
    <w:p w14:paraId="6BF16E17" w14:textId="2D2C5752" w:rsidR="004A1117" w:rsidRDefault="004A1117" w:rsidP="004A1117">
      <w:r w:rsidRPr="004A1117">
        <w:rPr>
          <w:b/>
        </w:rPr>
        <w:t xml:space="preserve">Proposal </w:t>
      </w:r>
      <w:r w:rsidR="0067327D">
        <w:rPr>
          <w:b/>
        </w:rPr>
        <w:t>9</w:t>
      </w:r>
      <w:r w:rsidRPr="004A1117">
        <w:rPr>
          <w:b/>
        </w:rPr>
        <w:t>:</w:t>
      </w:r>
      <w:r>
        <w:t xml:space="preserve"> No changes to RLM are needed due to CPAC.</w:t>
      </w:r>
    </w:p>
    <w:p w14:paraId="69355C34" w14:textId="12E8AC97" w:rsidR="006E4487" w:rsidRPr="006E13D1" w:rsidRDefault="006E4487" w:rsidP="006E4487">
      <w:pPr>
        <w:pStyle w:val="Heading2"/>
      </w:pPr>
      <w:r w:rsidRPr="006E13D1">
        <w:t>3.</w:t>
      </w:r>
      <w:r w:rsidR="00BC4C4D">
        <w:t>4</w:t>
      </w:r>
      <w:r w:rsidRPr="006E13D1">
        <w:tab/>
      </w:r>
      <w:r>
        <w:t>UE capabilities for CPAC</w:t>
      </w:r>
    </w:p>
    <w:p w14:paraId="3F1F3140" w14:textId="42DF10F2" w:rsidR="006E4487" w:rsidRDefault="004A1117" w:rsidP="006E4487">
      <w:r>
        <w:t>Even though CPAC resembles CHO, it is obviously a different feature so it will require separate UE capabilities from CHO. We see the following UE capabilities are meaningful:</w:t>
      </w:r>
    </w:p>
    <w:p w14:paraId="0299EC1C" w14:textId="3DDBD8AB" w:rsidR="004A1117" w:rsidRDefault="004A1117" w:rsidP="00B116B5">
      <w:pPr>
        <w:pStyle w:val="B1"/>
      </w:pPr>
      <w:r>
        <w:t xml:space="preserve">1) support of CPA (i.e. only conditional </w:t>
      </w:r>
      <w:r w:rsidR="00B116B5">
        <w:t xml:space="preserve">PSCell </w:t>
      </w:r>
      <w:r>
        <w:t>addition)</w:t>
      </w:r>
    </w:p>
    <w:p w14:paraId="1A8B71FF" w14:textId="4A686D31" w:rsidR="004A1117" w:rsidRDefault="004A1117" w:rsidP="00B116B5">
      <w:pPr>
        <w:pStyle w:val="B1"/>
      </w:pPr>
      <w:r>
        <w:t xml:space="preserve">2) support of CPAC (i.e. conditional </w:t>
      </w:r>
      <w:r w:rsidR="00B116B5">
        <w:t xml:space="preserve">PSCell change in addition to the condition PSCell </w:t>
      </w:r>
      <w:r>
        <w:t>addition)</w:t>
      </w:r>
    </w:p>
    <w:p w14:paraId="76213340" w14:textId="191EACA6" w:rsidR="004A1117" w:rsidRDefault="004A1117" w:rsidP="00B116B5">
      <w:pPr>
        <w:pStyle w:val="B1"/>
      </w:pPr>
      <w:r>
        <w:t>3) number of triggering conditions for CPAC (one or two</w:t>
      </w:r>
      <w:r w:rsidR="00B116B5">
        <w:t xml:space="preserve">, as </w:t>
      </w:r>
      <w:r w:rsidR="00F059B6">
        <w:t>per</w:t>
      </w:r>
      <w:r w:rsidR="00B116B5">
        <w:t xml:space="preserve"> CHO</w:t>
      </w:r>
      <w:r>
        <w:t>)</w:t>
      </w:r>
    </w:p>
    <w:p w14:paraId="1E0C049D" w14:textId="40DE9F3F" w:rsidR="004A1117" w:rsidRDefault="004A1117" w:rsidP="00B116B5">
      <w:pPr>
        <w:pStyle w:val="B1"/>
      </w:pPr>
      <w:r>
        <w:t>4) number of stored CPAC commands (</w:t>
      </w:r>
      <w:r w:rsidR="00B116B5">
        <w:t xml:space="preserve">e.g. </w:t>
      </w:r>
      <w:r>
        <w:t>one or two</w:t>
      </w:r>
      <w:r w:rsidR="00B116B5">
        <w:t>, FFS how many are needed</w:t>
      </w:r>
      <w:r>
        <w:t>)</w:t>
      </w:r>
    </w:p>
    <w:p w14:paraId="6B6754A6" w14:textId="6BDC8C14" w:rsidR="00B116B5" w:rsidRDefault="00B116B5" w:rsidP="006E4487">
      <w:r>
        <w:t xml:space="preserve">Finally, the XDD/FRX separation </w:t>
      </w:r>
      <w:r w:rsidR="00A86F7A">
        <w:t>should</w:t>
      </w:r>
      <w:r>
        <w:t xml:space="preserve"> also be discussed. As with CHO, we think both XDD and FRX capability separation could be considered for the CPAC to allow IODT possibilities to be reflected in UE capabilities.</w:t>
      </w:r>
    </w:p>
    <w:p w14:paraId="528C973F" w14:textId="0CEA30C6" w:rsidR="00B116B5" w:rsidRDefault="00B116B5" w:rsidP="006E4487">
      <w:r w:rsidRPr="00B116B5">
        <w:rPr>
          <w:b/>
        </w:rPr>
        <w:lastRenderedPageBreak/>
        <w:t xml:space="preserve">Proposal </w:t>
      </w:r>
      <w:r w:rsidR="0067327D">
        <w:rPr>
          <w:b/>
        </w:rPr>
        <w:t>10</w:t>
      </w:r>
      <w:r w:rsidRPr="00B116B5">
        <w:rPr>
          <w:b/>
        </w:rPr>
        <w:t>:</w:t>
      </w:r>
      <w:r>
        <w:t xml:space="preserve"> Allow both XDD and FRX separation for CPAC UE capabilities, with the following: 1) Support of CPA (i.e. only PSCell addition), 2) support of CPAC (i.e. PSCell change in addition to the addition), 3) Number of </w:t>
      </w:r>
      <w:r w:rsidR="00A86F7A">
        <w:t>triggering</w:t>
      </w:r>
      <w:r>
        <w:t xml:space="preserve"> conditions supported for CPAC (1 or 2), and 4) Number of stored CPAC commands (FFS how many).</w:t>
      </w:r>
    </w:p>
    <w:p w14:paraId="5FF2457F" w14:textId="11A84A2C" w:rsidR="00A209D6" w:rsidRPr="006E13D1" w:rsidRDefault="00A209D6" w:rsidP="00A209D6">
      <w:pPr>
        <w:pStyle w:val="Heading1"/>
      </w:pPr>
      <w:r w:rsidRPr="006E13D1">
        <w:t>4</w:t>
      </w:r>
      <w:r w:rsidRPr="006E13D1">
        <w:tab/>
      </w:r>
      <w:r w:rsidR="008C3057">
        <w:t>Conclusion</w:t>
      </w:r>
    </w:p>
    <w:p w14:paraId="6C60FFDC" w14:textId="3BC06B77" w:rsidR="00A209D6" w:rsidRPr="006E13D1" w:rsidRDefault="00B116B5" w:rsidP="00A209D6">
      <w:r>
        <w:t>We have discussed the basic aspects of Conditional PSCell Addition and Change (CPAC), with following observations and proposals:</w:t>
      </w:r>
    </w:p>
    <w:p w14:paraId="57AC299A" w14:textId="0F5DCBF6" w:rsidR="00B116B5" w:rsidRPr="00B94C3B" w:rsidRDefault="00B116B5" w:rsidP="00B116B5">
      <w:r w:rsidRPr="00045E3A">
        <w:rPr>
          <w:b/>
        </w:rPr>
        <w:t>Observation 1:</w:t>
      </w:r>
      <w:r>
        <w:t xml:space="preserve"> Conditional PSCell addition/change (CPAC) applies </w:t>
      </w:r>
      <w:r w:rsidR="00E87849">
        <w:t xml:space="preserve">only </w:t>
      </w:r>
      <w:r>
        <w:t xml:space="preserve">for EN-DC, NGEN-DC and NR-DC. </w:t>
      </w:r>
    </w:p>
    <w:p w14:paraId="02C4DD47" w14:textId="77777777" w:rsidR="00B116B5" w:rsidRDefault="00B116B5" w:rsidP="00B116B5">
      <w:pPr>
        <w:rPr>
          <w:lang w:eastAsia="ja-JP"/>
        </w:rPr>
      </w:pPr>
      <w:r w:rsidRPr="00DF3F2C">
        <w:rPr>
          <w:b/>
          <w:lang w:eastAsia="ja-JP"/>
        </w:rPr>
        <w:t>Observation 2:</w:t>
      </w:r>
      <w:r>
        <w:rPr>
          <w:lang w:eastAsia="ja-JP"/>
        </w:rPr>
        <w:t xml:space="preserve"> The CPAC procedure is not exactly the same as the CHO procedure due to SN being in inter-RAT/frequency, MN creating the CPAC message and PCell connection being retained even after the procedure completion.</w:t>
      </w:r>
    </w:p>
    <w:p w14:paraId="79C4FC13" w14:textId="77777777" w:rsidR="00660135" w:rsidRPr="00D04E35" w:rsidRDefault="00660135" w:rsidP="00660135">
      <w:r w:rsidRPr="00803174">
        <w:rPr>
          <w:b/>
        </w:rPr>
        <w:t>Observation 3:</w:t>
      </w:r>
      <w:r>
        <w:t xml:space="preserve"> It is not clear when PCell would start doing data forwarding towards the target PSCell.</w:t>
      </w:r>
    </w:p>
    <w:p w14:paraId="5569A896" w14:textId="77777777" w:rsidR="00B116B5" w:rsidRPr="006E4487" w:rsidRDefault="00B116B5" w:rsidP="00B116B5">
      <w:pPr>
        <w:rPr>
          <w:lang w:eastAsia="ja-JP"/>
        </w:rPr>
      </w:pPr>
      <w:r>
        <w:rPr>
          <w:b/>
          <w:lang w:eastAsia="ja-JP"/>
        </w:rPr>
        <w:t xml:space="preserve">Proposal 0: </w:t>
      </w:r>
      <w:r w:rsidRPr="006E4487">
        <w:rPr>
          <w:lang w:eastAsia="ja-JP"/>
        </w:rPr>
        <w:t>CPAC follows the CHO principles except where stated otherwise.</w:t>
      </w:r>
    </w:p>
    <w:p w14:paraId="51755A62" w14:textId="77777777" w:rsidR="00B116B5" w:rsidRDefault="00B116B5" w:rsidP="00B116B5">
      <w:pPr>
        <w:rPr>
          <w:lang w:eastAsia="ja-JP"/>
        </w:rPr>
      </w:pPr>
      <w:r w:rsidRPr="00DF3F2C">
        <w:rPr>
          <w:b/>
          <w:lang w:eastAsia="ja-JP"/>
        </w:rPr>
        <w:t>Proposal 1:</w:t>
      </w:r>
      <w:r>
        <w:rPr>
          <w:lang w:eastAsia="ja-JP"/>
        </w:rPr>
        <w:t xml:space="preserve"> MN indicates to SN whether the SN addition/change is conditional, and SN may accept or reject the request. RAN3 to define the signalling details of the request-response procedures.</w:t>
      </w:r>
    </w:p>
    <w:p w14:paraId="1E1954EB" w14:textId="77777777" w:rsidR="00B116B5" w:rsidRDefault="00B116B5" w:rsidP="00B116B5">
      <w:pPr>
        <w:rPr>
          <w:lang w:eastAsia="ja-JP"/>
        </w:rPr>
      </w:pPr>
      <w:r w:rsidRPr="00C672E1">
        <w:rPr>
          <w:b/>
          <w:lang w:eastAsia="ja-JP"/>
        </w:rPr>
        <w:t>Proposal 2:</w:t>
      </w:r>
      <w:r>
        <w:rPr>
          <w:lang w:eastAsia="ja-JP"/>
        </w:rPr>
        <w:t xml:space="preserve"> The CPAC configuration is done in the same way as CHO: The triggering condition is defined by MN and the CPAC (SN) configuration is created by the SN, with the RRCReconfiguration that triggers the CPAC sent in an RRC container to the UE.</w:t>
      </w:r>
    </w:p>
    <w:p w14:paraId="4CDB83C0" w14:textId="77777777" w:rsidR="00B116B5" w:rsidRDefault="00B116B5" w:rsidP="00B116B5">
      <w:pPr>
        <w:rPr>
          <w:lang w:eastAsia="ja-JP"/>
        </w:rPr>
      </w:pPr>
      <w:r w:rsidRPr="00DF3F2C">
        <w:rPr>
          <w:b/>
          <w:lang w:eastAsia="ja-JP"/>
        </w:rPr>
        <w:t xml:space="preserve">Proposal </w:t>
      </w:r>
      <w:r>
        <w:rPr>
          <w:b/>
          <w:lang w:eastAsia="ja-JP"/>
        </w:rPr>
        <w:t>3</w:t>
      </w:r>
      <w:r w:rsidRPr="00DF3F2C">
        <w:rPr>
          <w:b/>
          <w:lang w:eastAsia="ja-JP"/>
        </w:rPr>
        <w:t>:</w:t>
      </w:r>
      <w:r>
        <w:rPr>
          <w:lang w:eastAsia="ja-JP"/>
        </w:rPr>
        <w:t xml:space="preserve"> UE indicates to MN when the CPAC condition is triggered via RRC message (FFS which message is used and when the message is triggered).</w:t>
      </w:r>
    </w:p>
    <w:p w14:paraId="1C5A486D" w14:textId="77777777" w:rsidR="00B116B5" w:rsidRDefault="00B116B5" w:rsidP="00B116B5">
      <w:pPr>
        <w:rPr>
          <w:lang w:eastAsia="ja-JP"/>
        </w:rPr>
      </w:pPr>
      <w:r w:rsidRPr="004A1117">
        <w:rPr>
          <w:b/>
          <w:lang w:eastAsia="ja-JP"/>
        </w:rPr>
        <w:t>Proposal 4:</w:t>
      </w:r>
      <w:r>
        <w:rPr>
          <w:lang w:eastAsia="ja-JP"/>
        </w:rPr>
        <w:t xml:space="preserve"> RAN2 to discuss how many CPAC commands UE should be required to store.</w:t>
      </w:r>
    </w:p>
    <w:p w14:paraId="4E9931BF" w14:textId="77777777" w:rsidR="00B116B5" w:rsidRDefault="00B116B5" w:rsidP="00B116B5">
      <w:pPr>
        <w:rPr>
          <w:lang w:eastAsia="ja-JP"/>
        </w:rPr>
      </w:pPr>
      <w:r w:rsidRPr="004A1117">
        <w:rPr>
          <w:b/>
        </w:rPr>
        <w:t xml:space="preserve">Proposal </w:t>
      </w:r>
      <w:r>
        <w:rPr>
          <w:b/>
        </w:rPr>
        <w:t>5</w:t>
      </w:r>
      <w:r w:rsidRPr="004A1117">
        <w:rPr>
          <w:b/>
        </w:rPr>
        <w:t>:</w:t>
      </w:r>
      <w:r>
        <w:t xml:space="preserve"> MN configures at most two triggering conditions separately from the CPAC command.</w:t>
      </w:r>
      <w:r>
        <w:rPr>
          <w:lang w:eastAsia="ja-JP"/>
        </w:rPr>
        <w:t xml:space="preserve"> </w:t>
      </w:r>
    </w:p>
    <w:p w14:paraId="66165669" w14:textId="77777777" w:rsidR="00B116B5" w:rsidRDefault="00B116B5" w:rsidP="00B116B5">
      <w:pPr>
        <w:rPr>
          <w:lang w:eastAsia="ja-JP"/>
        </w:rPr>
      </w:pPr>
      <w:r w:rsidRPr="004A1117">
        <w:rPr>
          <w:b/>
          <w:lang w:eastAsia="ja-JP"/>
        </w:rPr>
        <w:t xml:space="preserve">Proposal </w:t>
      </w:r>
      <w:r>
        <w:rPr>
          <w:b/>
          <w:lang w:eastAsia="ja-JP"/>
        </w:rPr>
        <w:t>6</w:t>
      </w:r>
      <w:r w:rsidRPr="004A1117">
        <w:rPr>
          <w:b/>
          <w:lang w:eastAsia="ja-JP"/>
        </w:rPr>
        <w:t xml:space="preserve">: </w:t>
      </w:r>
      <w:r>
        <w:rPr>
          <w:lang w:eastAsia="ja-JP"/>
        </w:rPr>
        <w:t>Events A3, A4, A5 and B1 can be used to trigger CPAC.</w:t>
      </w:r>
    </w:p>
    <w:p w14:paraId="01D9DACD" w14:textId="77777777" w:rsidR="00B116B5" w:rsidRDefault="00B116B5" w:rsidP="00B116B5">
      <w:r w:rsidRPr="00BC4C4D">
        <w:rPr>
          <w:b/>
        </w:rPr>
        <w:t>Proposal 7:</w:t>
      </w:r>
      <w:r>
        <w:t xml:space="preserve"> UE sends </w:t>
      </w:r>
      <w:r w:rsidRPr="00BC4C4D">
        <w:rPr>
          <w:i/>
        </w:rPr>
        <w:t>RRC(Connection)ReconfigurationComplete</w:t>
      </w:r>
      <w:r>
        <w:t xml:space="preserve"> to PCell when the CPAC triggers, just as with existing SN addition/change.</w:t>
      </w:r>
    </w:p>
    <w:p w14:paraId="43DF90B7" w14:textId="77777777" w:rsidR="0067327D" w:rsidRPr="00D04E35" w:rsidRDefault="0067327D" w:rsidP="0067327D">
      <w:r w:rsidRPr="00803174">
        <w:rPr>
          <w:b/>
        </w:rPr>
        <w:t>Proposal 8:</w:t>
      </w:r>
      <w:r>
        <w:t xml:space="preserve"> RAN2 to discuss whether some indication (e.g. </w:t>
      </w:r>
      <w:r w:rsidRPr="00803174">
        <w:rPr>
          <w:i/>
        </w:rPr>
        <w:t>MeasurementReport</w:t>
      </w:r>
      <w:r>
        <w:t>) from UE to network is needed when the CAPC conditions trigger</w:t>
      </w:r>
    </w:p>
    <w:p w14:paraId="1DAB9689" w14:textId="1C666068" w:rsidR="00B116B5" w:rsidRDefault="00B116B5" w:rsidP="00B116B5">
      <w:r w:rsidRPr="004A1117">
        <w:rPr>
          <w:b/>
        </w:rPr>
        <w:t xml:space="preserve">Proposal </w:t>
      </w:r>
      <w:r w:rsidR="0067327D">
        <w:rPr>
          <w:b/>
        </w:rPr>
        <w:t>9</w:t>
      </w:r>
      <w:r w:rsidRPr="004A1117">
        <w:rPr>
          <w:b/>
        </w:rPr>
        <w:t>:</w:t>
      </w:r>
      <w:r>
        <w:t xml:space="preserve"> No changes to RLM are needed due to CPAC.</w:t>
      </w:r>
    </w:p>
    <w:p w14:paraId="5ABAC8C0" w14:textId="1A76C7A2" w:rsidR="00B116B5" w:rsidRDefault="00B116B5" w:rsidP="00B116B5">
      <w:r w:rsidRPr="00B116B5">
        <w:rPr>
          <w:b/>
        </w:rPr>
        <w:t xml:space="preserve">Proposal </w:t>
      </w:r>
      <w:r w:rsidR="0067327D">
        <w:rPr>
          <w:b/>
        </w:rPr>
        <w:t>10</w:t>
      </w:r>
      <w:r w:rsidRPr="00B116B5">
        <w:rPr>
          <w:b/>
        </w:rPr>
        <w:t>:</w:t>
      </w:r>
      <w:r>
        <w:t xml:space="preserve"> Allow both XDD and FRX separation for CPAC UE capabilities, with the following: 1) Support of CPA (i.e. only PSCell addition), 2) support of CPAC (i.e. PSCell change in addition to the addition), 3) Number of </w:t>
      </w:r>
      <w:r w:rsidR="00A86F7A">
        <w:t>triggering</w:t>
      </w:r>
      <w:r>
        <w:t xml:space="preserve"> conditions supported for CPAC (1 or 2), and 4) Number of stored CPAC commands (FFS how many).</w:t>
      </w:r>
    </w:p>
    <w:sectPr w:rsidR="00B116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A72AC" w14:textId="77777777" w:rsidR="000B2885" w:rsidRDefault="000B2885">
      <w:r>
        <w:separator/>
      </w:r>
    </w:p>
  </w:endnote>
  <w:endnote w:type="continuationSeparator" w:id="0">
    <w:p w14:paraId="6E2A4419" w14:textId="77777777" w:rsidR="000B2885" w:rsidRDefault="000B2885">
      <w:r>
        <w:continuationSeparator/>
      </w:r>
    </w:p>
  </w:endnote>
  <w:endnote w:type="continuationNotice" w:id="1">
    <w:p w14:paraId="58559272" w14:textId="77777777" w:rsidR="000B2885" w:rsidRDefault="000B2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E52AE" w14:textId="77777777" w:rsidR="000B2885" w:rsidRDefault="000B2885">
      <w:r>
        <w:separator/>
      </w:r>
    </w:p>
  </w:footnote>
  <w:footnote w:type="continuationSeparator" w:id="0">
    <w:p w14:paraId="04B9F7D7" w14:textId="77777777" w:rsidR="000B2885" w:rsidRDefault="000B2885">
      <w:r>
        <w:continuationSeparator/>
      </w:r>
    </w:p>
  </w:footnote>
  <w:footnote w:type="continuationNotice" w:id="1">
    <w:p w14:paraId="7160C087" w14:textId="77777777" w:rsidR="000B2885" w:rsidRDefault="000B28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38B1FFF"/>
    <w:multiLevelType w:val="hybridMultilevel"/>
    <w:tmpl w:val="5CCEB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6CB135C"/>
    <w:multiLevelType w:val="hybridMultilevel"/>
    <w:tmpl w:val="05DC2BB8"/>
    <w:lvl w:ilvl="0" w:tplc="4EF0BD4E">
      <w:start w:val="2"/>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8024029"/>
    <w:multiLevelType w:val="hybridMultilevel"/>
    <w:tmpl w:val="48485C88"/>
    <w:lvl w:ilvl="0" w:tplc="4EF0BD4E">
      <w:start w:val="2"/>
      <w:numFmt w:val="bullet"/>
      <w:lvlText w:val="-"/>
      <w:lvlJc w:val="left"/>
      <w:pPr>
        <w:ind w:left="928" w:hanging="360"/>
      </w:pPr>
      <w:rPr>
        <w:rFonts w:ascii="Times New Roman" w:eastAsia="Times New Roman" w:hAnsi="Times New Roman" w:cs="Times New Roman" w:hint="default"/>
        <w:b/>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C7272CE"/>
    <w:multiLevelType w:val="hybridMultilevel"/>
    <w:tmpl w:val="92C29ADE"/>
    <w:lvl w:ilvl="0" w:tplc="0EA4EDF6">
      <w:start w:val="4"/>
      <w:numFmt w:val="bullet"/>
      <w:lvlText w:val="-"/>
      <w:lvlJc w:val="left"/>
      <w:pPr>
        <w:ind w:left="386" w:hanging="360"/>
      </w:pPr>
      <w:rPr>
        <w:rFonts w:ascii="Times New Roman" w:eastAsia="MS Mincho" w:hAnsi="Times New Roman" w:cs="Times New Roman" w:hint="default"/>
      </w:rPr>
    </w:lvl>
    <w:lvl w:ilvl="1" w:tplc="08090003">
      <w:start w:val="1"/>
      <w:numFmt w:val="bullet"/>
      <w:lvlText w:val="o"/>
      <w:lvlJc w:val="left"/>
      <w:pPr>
        <w:ind w:left="1106" w:hanging="360"/>
      </w:pPr>
      <w:rPr>
        <w:rFonts w:ascii="Courier New" w:hAnsi="Courier New" w:cs="Courier New" w:hint="default"/>
      </w:rPr>
    </w:lvl>
    <w:lvl w:ilvl="2" w:tplc="08090005" w:tentative="1">
      <w:start w:val="1"/>
      <w:numFmt w:val="bullet"/>
      <w:lvlText w:val=""/>
      <w:lvlJc w:val="left"/>
      <w:pPr>
        <w:ind w:left="1826" w:hanging="360"/>
      </w:pPr>
      <w:rPr>
        <w:rFonts w:ascii="Wingdings" w:hAnsi="Wingdings" w:hint="default"/>
      </w:rPr>
    </w:lvl>
    <w:lvl w:ilvl="3" w:tplc="08090001" w:tentative="1">
      <w:start w:val="1"/>
      <w:numFmt w:val="bullet"/>
      <w:lvlText w:val=""/>
      <w:lvlJc w:val="left"/>
      <w:pPr>
        <w:ind w:left="2546" w:hanging="360"/>
      </w:pPr>
      <w:rPr>
        <w:rFonts w:ascii="Symbol" w:hAnsi="Symbol" w:hint="default"/>
      </w:rPr>
    </w:lvl>
    <w:lvl w:ilvl="4" w:tplc="08090003" w:tentative="1">
      <w:start w:val="1"/>
      <w:numFmt w:val="bullet"/>
      <w:lvlText w:val="o"/>
      <w:lvlJc w:val="left"/>
      <w:pPr>
        <w:ind w:left="3266" w:hanging="360"/>
      </w:pPr>
      <w:rPr>
        <w:rFonts w:ascii="Courier New" w:hAnsi="Courier New" w:cs="Courier New" w:hint="default"/>
      </w:rPr>
    </w:lvl>
    <w:lvl w:ilvl="5" w:tplc="08090005" w:tentative="1">
      <w:start w:val="1"/>
      <w:numFmt w:val="bullet"/>
      <w:lvlText w:val=""/>
      <w:lvlJc w:val="left"/>
      <w:pPr>
        <w:ind w:left="3986" w:hanging="360"/>
      </w:pPr>
      <w:rPr>
        <w:rFonts w:ascii="Wingdings" w:hAnsi="Wingdings" w:hint="default"/>
      </w:rPr>
    </w:lvl>
    <w:lvl w:ilvl="6" w:tplc="08090001" w:tentative="1">
      <w:start w:val="1"/>
      <w:numFmt w:val="bullet"/>
      <w:lvlText w:val=""/>
      <w:lvlJc w:val="left"/>
      <w:pPr>
        <w:ind w:left="4706" w:hanging="360"/>
      </w:pPr>
      <w:rPr>
        <w:rFonts w:ascii="Symbol" w:hAnsi="Symbol" w:hint="default"/>
      </w:rPr>
    </w:lvl>
    <w:lvl w:ilvl="7" w:tplc="08090003" w:tentative="1">
      <w:start w:val="1"/>
      <w:numFmt w:val="bullet"/>
      <w:lvlText w:val="o"/>
      <w:lvlJc w:val="left"/>
      <w:pPr>
        <w:ind w:left="5426" w:hanging="360"/>
      </w:pPr>
      <w:rPr>
        <w:rFonts w:ascii="Courier New" w:hAnsi="Courier New" w:cs="Courier New" w:hint="default"/>
      </w:rPr>
    </w:lvl>
    <w:lvl w:ilvl="8" w:tplc="08090005" w:tentative="1">
      <w:start w:val="1"/>
      <w:numFmt w:val="bullet"/>
      <w:lvlText w:val=""/>
      <w:lvlJc w:val="left"/>
      <w:pPr>
        <w:ind w:left="6146" w:hanging="360"/>
      </w:pPr>
      <w:rPr>
        <w:rFonts w:ascii="Wingdings" w:hAnsi="Wingdings" w:hint="default"/>
      </w:rPr>
    </w:lvl>
  </w:abstractNum>
  <w:abstractNum w:abstractNumId="12" w15:restartNumberingAfterBreak="0">
    <w:nsid w:val="50702D23"/>
    <w:multiLevelType w:val="hybridMultilevel"/>
    <w:tmpl w:val="C9AED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2"/>
  </w:num>
  <w:num w:numId="9">
    <w:abstractNumId w:val="3"/>
  </w:num>
  <w:num w:numId="10">
    <w:abstractNumId w:val="12"/>
  </w:num>
  <w:num w:numId="11">
    <w:abstractNumId w:val="5"/>
  </w:num>
  <w:num w:numId="12">
    <w:abstractNumId w:val="11"/>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3FC9"/>
    <w:rsid w:val="000259C7"/>
    <w:rsid w:val="00033397"/>
    <w:rsid w:val="00040095"/>
    <w:rsid w:val="00045E3A"/>
    <w:rsid w:val="00071FBF"/>
    <w:rsid w:val="00073C9C"/>
    <w:rsid w:val="00080512"/>
    <w:rsid w:val="00090468"/>
    <w:rsid w:val="00094568"/>
    <w:rsid w:val="000966CA"/>
    <w:rsid w:val="000B2885"/>
    <w:rsid w:val="000B7BCF"/>
    <w:rsid w:val="000C522B"/>
    <w:rsid w:val="000D58AB"/>
    <w:rsid w:val="000F6F42"/>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3628B"/>
    <w:rsid w:val="00250404"/>
    <w:rsid w:val="002610D8"/>
    <w:rsid w:val="002747EC"/>
    <w:rsid w:val="002855BF"/>
    <w:rsid w:val="002C6D82"/>
    <w:rsid w:val="002F0D22"/>
    <w:rsid w:val="002F3CF7"/>
    <w:rsid w:val="003172DC"/>
    <w:rsid w:val="00325AE3"/>
    <w:rsid w:val="00326069"/>
    <w:rsid w:val="0035462D"/>
    <w:rsid w:val="00364B41"/>
    <w:rsid w:val="00383096"/>
    <w:rsid w:val="003A41EF"/>
    <w:rsid w:val="003A5417"/>
    <w:rsid w:val="003A6E6C"/>
    <w:rsid w:val="003B26FA"/>
    <w:rsid w:val="003B40AD"/>
    <w:rsid w:val="003C4E37"/>
    <w:rsid w:val="003E16BE"/>
    <w:rsid w:val="003F4E28"/>
    <w:rsid w:val="004006E8"/>
    <w:rsid w:val="00401855"/>
    <w:rsid w:val="00465587"/>
    <w:rsid w:val="00477455"/>
    <w:rsid w:val="004A1117"/>
    <w:rsid w:val="004A1F7B"/>
    <w:rsid w:val="004C44D2"/>
    <w:rsid w:val="004D3578"/>
    <w:rsid w:val="004D380D"/>
    <w:rsid w:val="004D740C"/>
    <w:rsid w:val="004E213A"/>
    <w:rsid w:val="00503171"/>
    <w:rsid w:val="00506C28"/>
    <w:rsid w:val="00523007"/>
    <w:rsid w:val="00534DA0"/>
    <w:rsid w:val="00543E6C"/>
    <w:rsid w:val="00550486"/>
    <w:rsid w:val="00565087"/>
    <w:rsid w:val="0056573F"/>
    <w:rsid w:val="005B7B22"/>
    <w:rsid w:val="00611566"/>
    <w:rsid w:val="00646D99"/>
    <w:rsid w:val="006522A2"/>
    <w:rsid w:val="00656910"/>
    <w:rsid w:val="006574C0"/>
    <w:rsid w:val="00660135"/>
    <w:rsid w:val="0067327D"/>
    <w:rsid w:val="0068728E"/>
    <w:rsid w:val="006C66D8"/>
    <w:rsid w:val="006D1E24"/>
    <w:rsid w:val="006E1417"/>
    <w:rsid w:val="006E4487"/>
    <w:rsid w:val="006E5E19"/>
    <w:rsid w:val="006F6A2C"/>
    <w:rsid w:val="007069DC"/>
    <w:rsid w:val="00710201"/>
    <w:rsid w:val="0072073A"/>
    <w:rsid w:val="00725C27"/>
    <w:rsid w:val="00726002"/>
    <w:rsid w:val="007342B5"/>
    <w:rsid w:val="00734A5B"/>
    <w:rsid w:val="0073628C"/>
    <w:rsid w:val="00743605"/>
    <w:rsid w:val="00744E76"/>
    <w:rsid w:val="00757D40"/>
    <w:rsid w:val="007662B5"/>
    <w:rsid w:val="00781F0F"/>
    <w:rsid w:val="0078727C"/>
    <w:rsid w:val="00787BD9"/>
    <w:rsid w:val="0079049D"/>
    <w:rsid w:val="00793DC5"/>
    <w:rsid w:val="007B18D8"/>
    <w:rsid w:val="007C095F"/>
    <w:rsid w:val="007C2DD0"/>
    <w:rsid w:val="007F2E08"/>
    <w:rsid w:val="008028A4"/>
    <w:rsid w:val="00813245"/>
    <w:rsid w:val="00830464"/>
    <w:rsid w:val="00840DE0"/>
    <w:rsid w:val="00852E53"/>
    <w:rsid w:val="0086354A"/>
    <w:rsid w:val="00873DA9"/>
    <w:rsid w:val="0087625A"/>
    <w:rsid w:val="008768C5"/>
    <w:rsid w:val="008768CA"/>
    <w:rsid w:val="00877EF9"/>
    <w:rsid w:val="00880559"/>
    <w:rsid w:val="008B3FAE"/>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B2511"/>
    <w:rsid w:val="009C19E9"/>
    <w:rsid w:val="009D74A6"/>
    <w:rsid w:val="009E04F5"/>
    <w:rsid w:val="009E2DC9"/>
    <w:rsid w:val="00A10F02"/>
    <w:rsid w:val="00A204CA"/>
    <w:rsid w:val="00A209D6"/>
    <w:rsid w:val="00A32C77"/>
    <w:rsid w:val="00A44D56"/>
    <w:rsid w:val="00A53724"/>
    <w:rsid w:val="00A54B2B"/>
    <w:rsid w:val="00A82346"/>
    <w:rsid w:val="00A86F7A"/>
    <w:rsid w:val="00A9671C"/>
    <w:rsid w:val="00AA1553"/>
    <w:rsid w:val="00B05380"/>
    <w:rsid w:val="00B05962"/>
    <w:rsid w:val="00B116B5"/>
    <w:rsid w:val="00B15449"/>
    <w:rsid w:val="00B16C2F"/>
    <w:rsid w:val="00B27303"/>
    <w:rsid w:val="00B36AC3"/>
    <w:rsid w:val="00B408FF"/>
    <w:rsid w:val="00B47FD1"/>
    <w:rsid w:val="00B516BB"/>
    <w:rsid w:val="00B84DB2"/>
    <w:rsid w:val="00B94C3B"/>
    <w:rsid w:val="00BC3555"/>
    <w:rsid w:val="00BC4C4D"/>
    <w:rsid w:val="00BC7471"/>
    <w:rsid w:val="00BE1022"/>
    <w:rsid w:val="00C12B51"/>
    <w:rsid w:val="00C15C13"/>
    <w:rsid w:val="00C24650"/>
    <w:rsid w:val="00C25465"/>
    <w:rsid w:val="00C33079"/>
    <w:rsid w:val="00C672E1"/>
    <w:rsid w:val="00C83A13"/>
    <w:rsid w:val="00C9068C"/>
    <w:rsid w:val="00C92967"/>
    <w:rsid w:val="00CA3D0C"/>
    <w:rsid w:val="00CA654B"/>
    <w:rsid w:val="00CB72B8"/>
    <w:rsid w:val="00CD4C7B"/>
    <w:rsid w:val="00D04E35"/>
    <w:rsid w:val="00D1045D"/>
    <w:rsid w:val="00D25E18"/>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3F2C"/>
    <w:rsid w:val="00E46C08"/>
    <w:rsid w:val="00E471CF"/>
    <w:rsid w:val="00E53A23"/>
    <w:rsid w:val="00E62835"/>
    <w:rsid w:val="00E77645"/>
    <w:rsid w:val="00E83697"/>
    <w:rsid w:val="00E87849"/>
    <w:rsid w:val="00EA66C9"/>
    <w:rsid w:val="00EB5451"/>
    <w:rsid w:val="00EC4A25"/>
    <w:rsid w:val="00F025A2"/>
    <w:rsid w:val="00F036E9"/>
    <w:rsid w:val="00F059B6"/>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B7188"/>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2F60BEA-5D93-42DB-890A-76B9604DF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rsid w:val="004D740C"/>
    <w:rPr>
      <w:sz w:val="16"/>
      <w:szCs w:val="16"/>
    </w:rPr>
  </w:style>
  <w:style w:type="paragraph" w:styleId="CommentText">
    <w:name w:val="annotation text"/>
    <w:basedOn w:val="Normal"/>
    <w:link w:val="CommentTextChar"/>
    <w:rsid w:val="004D740C"/>
    <w:rPr>
      <w:rFonts w:eastAsia="Yu Mincho"/>
    </w:rPr>
  </w:style>
  <w:style w:type="character" w:customStyle="1" w:styleId="CommentTextChar">
    <w:name w:val="Comment Text Char"/>
    <w:basedOn w:val="DefaultParagraphFont"/>
    <w:link w:val="CommentText"/>
    <w:rsid w:val="004D740C"/>
    <w:rPr>
      <w:rFonts w:eastAsia="Yu Mincho"/>
      <w:lang w:eastAsia="en-US"/>
    </w:rPr>
  </w:style>
  <w:style w:type="paragraph" w:styleId="ListParagraph">
    <w:name w:val="List Paragraph"/>
    <w:basedOn w:val="Normal"/>
    <w:uiPriority w:val="34"/>
    <w:qFormat/>
    <w:rsid w:val="004D740C"/>
    <w:pPr>
      <w:spacing w:after="0"/>
      <w:ind w:left="720"/>
      <w:contextualSpacing/>
    </w:pPr>
    <w:rPr>
      <w:sz w:val="24"/>
      <w:szCs w:val="24"/>
      <w:lang w:val="en-US"/>
    </w:rPr>
  </w:style>
  <w:style w:type="character" w:customStyle="1" w:styleId="CRCoverPageZchn">
    <w:name w:val="CR Cover Page Zchn"/>
    <w:link w:val="CRCoverPage"/>
    <w:rsid w:val="004D740C"/>
    <w:rPr>
      <w:rFonts w:ascii="Arial" w:eastAsia="MS Mincho" w:hAnsi="Arial"/>
      <w:lang w:eastAsia="en-US"/>
    </w:rPr>
  </w:style>
  <w:style w:type="paragraph" w:customStyle="1" w:styleId="Doc-text2">
    <w:name w:val="Doc-text2"/>
    <w:basedOn w:val="Normal"/>
    <w:link w:val="Doc-text2Char"/>
    <w:qFormat/>
    <w:rsid w:val="006522A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22A2"/>
    <w:rPr>
      <w:rFonts w:ascii="Arial" w:eastAsia="MS Mincho" w:hAnsi="Arial"/>
      <w:szCs w:val="24"/>
    </w:rPr>
  </w:style>
  <w:style w:type="paragraph" w:styleId="CommentSubject">
    <w:name w:val="annotation subject"/>
    <w:basedOn w:val="CommentText"/>
    <w:next w:val="CommentText"/>
    <w:link w:val="CommentSubjectChar"/>
    <w:rsid w:val="00BC4C4D"/>
    <w:rPr>
      <w:rFonts w:eastAsia="Times New Roman"/>
      <w:b/>
      <w:bCs/>
    </w:rPr>
  </w:style>
  <w:style w:type="character" w:customStyle="1" w:styleId="CommentSubjectChar">
    <w:name w:val="Comment Subject Char"/>
    <w:basedOn w:val="CommentTextChar"/>
    <w:link w:val="CommentSubject"/>
    <w:rsid w:val="00BC4C4D"/>
    <w:rPr>
      <w:rFonts w:eastAsia="Yu Mincho"/>
      <w:b/>
      <w:bCs/>
      <w:lang w:eastAsia="en-US"/>
    </w:rPr>
  </w:style>
  <w:style w:type="paragraph" w:styleId="Caption">
    <w:name w:val="caption"/>
    <w:basedOn w:val="Normal"/>
    <w:next w:val="Normal"/>
    <w:unhideWhenUsed/>
    <w:qFormat/>
    <w:rsid w:val="000F6F42"/>
    <w:pPr>
      <w:spacing w:after="200"/>
    </w:pPr>
    <w:rPr>
      <w:i/>
      <w:iCs/>
      <w:color w:val="44546A" w:themeColor="text2"/>
      <w:sz w:val="18"/>
      <w:szCs w:val="18"/>
    </w:rPr>
  </w:style>
  <w:style w:type="character" w:styleId="FollowedHyperlink">
    <w:name w:val="FollowedHyperlink"/>
    <w:basedOn w:val="DefaultParagraphFont"/>
    <w:rsid w:val="00D25E18"/>
    <w:rPr>
      <w:color w:val="954F72" w:themeColor="followedHyperlink"/>
      <w:u w:val="single"/>
    </w:rPr>
  </w:style>
  <w:style w:type="paragraph" w:styleId="Revision">
    <w:name w:val="Revision"/>
    <w:hidden/>
    <w:uiPriority w:val="99"/>
    <w:semiHidden/>
    <w:rsid w:val="00A86F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07/Docs/R2-1911344.zip" TargetMode="Externa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07/Docs/R2-1911344.zip" TargetMode="External"/><Relationship Id="rId2" Type="http://schemas.openxmlformats.org/officeDocument/2006/relationships/customXml" Target="../customXml/item2.xml"/><Relationship Id="rId16" Type="http://schemas.openxmlformats.org/officeDocument/2006/relationships/hyperlink" Target="http://www.3gpp.org/DynaReport/36423.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07/Docs/R2-1911344.zip" TargetMode="Externa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5/docs/RP-1922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5AIRPNAIUNRU-859666464-5695</_dlc_DocId>
    <_dlc_DocIdUrl xmlns="71c5aaf6-e6ce-465b-b873-5148d2a4c105">
      <Url>https://nokia.sharepoint.com/sites/c5g/e2earch/_layouts/15/DocIdRedir.aspx?ID=5AIRPNAIUNRU-859666464-5695</Url>
      <Description>5AIRPNAIUNRU-859666464-5695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21E2C967-9CC5-4DD8-9629-DF18769DF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47</TotalTime>
  <Pages>5</Pages>
  <Words>1939</Words>
  <Characters>11056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12970</CharactersWithSpaces>
  <SharedDoc>false</SharedDoc>
  <HyperlinkBase/>
  <HLinks>
    <vt:vector size="30" baseType="variant">
      <vt:variant>
        <vt:i4>8061003</vt:i4>
      </vt:variant>
      <vt:variant>
        <vt:i4>12</vt:i4>
      </vt:variant>
      <vt:variant>
        <vt:i4>0</vt:i4>
      </vt:variant>
      <vt:variant>
        <vt:i4>5</vt:i4>
      </vt:variant>
      <vt:variant>
        <vt:lpwstr>https://www.3gpp.org/ftp/tsg_ran/WG2_RL2/TSGR2_107/Docs/R2-1911344.zip</vt:lpwstr>
      </vt:variant>
      <vt:variant>
        <vt:lpwstr/>
      </vt:variant>
      <vt:variant>
        <vt:i4>8061003</vt:i4>
      </vt:variant>
      <vt:variant>
        <vt:i4>9</vt:i4>
      </vt:variant>
      <vt:variant>
        <vt:i4>0</vt:i4>
      </vt:variant>
      <vt:variant>
        <vt:i4>5</vt:i4>
      </vt:variant>
      <vt:variant>
        <vt:lpwstr>https://www.3gpp.org/ftp/tsg_ran/WG2_RL2/TSGR2_107/Docs/R2-1911344.zip</vt:lpwstr>
      </vt:variant>
      <vt:variant>
        <vt:lpwstr/>
      </vt:variant>
      <vt:variant>
        <vt:i4>2293771</vt:i4>
      </vt:variant>
      <vt:variant>
        <vt:i4>6</vt:i4>
      </vt:variant>
      <vt:variant>
        <vt:i4>0</vt:i4>
      </vt:variant>
      <vt:variant>
        <vt:i4>5</vt:i4>
      </vt:variant>
      <vt:variant>
        <vt:lpwstr>http://www.3gpp.org/ftp/tsg_ran/tsg_ran/tsgr_85/docs/RP-192277.zip</vt:lpwstr>
      </vt:variant>
      <vt:variant>
        <vt:lpwstr/>
      </vt:variant>
      <vt:variant>
        <vt:i4>2818055</vt:i4>
      </vt:variant>
      <vt:variant>
        <vt:i4>3</vt:i4>
      </vt:variant>
      <vt:variant>
        <vt:i4>0</vt:i4>
      </vt:variant>
      <vt:variant>
        <vt:i4>5</vt:i4>
      </vt:variant>
      <vt:variant>
        <vt:lpwstr>http://www.3gpp.org/ftp/tsg_ran/tsg_ran/tsgr_85/docs/RP-191885.zip</vt:lpwstr>
      </vt:variant>
      <vt:variant>
        <vt:lpwstr/>
      </vt:variant>
      <vt:variant>
        <vt:i4>8061003</vt:i4>
      </vt:variant>
      <vt:variant>
        <vt:i4>0</vt:i4>
      </vt:variant>
      <vt:variant>
        <vt:i4>0</vt:i4>
      </vt:variant>
      <vt:variant>
        <vt:i4>5</vt:i4>
      </vt:variant>
      <vt:variant>
        <vt:lpwstr>https://www.3gpp.org/ftp/tsg_ran/WG2_RL2/TSGR2_107/Docs/R2-1911344.zip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cp:lastModifiedBy>Nokia, Nokia Shanghai Bell</cp:lastModifiedBy>
  <cp:revision>39</cp:revision>
  <dcterms:created xsi:type="dcterms:W3CDTF">2019-10-03T16:03:00Z</dcterms:created>
  <dcterms:modified xsi:type="dcterms:W3CDTF">2019-10-03T13:51:00Z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2626d656-a5eb-4f12-af19-0a8b7b469932</vt:lpwstr>
  </property>
</Properties>
</file>